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C" w:rsidRDefault="002A5D8C" w:rsidP="0076119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 xml:space="preserve">أسس انتقال الطلبة </w:t>
      </w:r>
      <w:r w:rsidR="00761197"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>من</w:t>
      </w: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 xml:space="preserve"> الجامعات الحكومية</w:t>
      </w:r>
      <w:r w:rsidR="00761197"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 xml:space="preserve"> إلى الجامعة الهاشمية</w:t>
      </w:r>
    </w:p>
    <w:p w:rsidR="001011DB" w:rsidRDefault="002A5D8C" w:rsidP="001011DB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 xml:space="preserve"> لأسباب الأمراض المزمنة والقضايا العشائرية</w:t>
      </w:r>
    </w:p>
    <w:p w:rsidR="002A5D8C" w:rsidRDefault="001011DB" w:rsidP="002A5D8C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</w:pPr>
      <w:r w:rsidRPr="001011DB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 xml:space="preserve">صادرة بموجب قرار مجلس العمداء </w:t>
      </w:r>
      <w:r w:rsidRPr="002A5D8C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>ذي الرقم (</w:t>
      </w:r>
      <w:r w:rsidR="002A5D8C" w:rsidRPr="002A5D8C"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>521</w:t>
      </w:r>
      <w:r w:rsidR="002A5D8C" w:rsidRPr="002A5D8C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>/17/2017</w:t>
      </w:r>
      <w:r w:rsidRPr="002A5D8C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>)</w:t>
      </w:r>
    </w:p>
    <w:p w:rsidR="001011DB" w:rsidRPr="002A5D8C" w:rsidRDefault="001011DB" w:rsidP="002A5D8C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</w:pPr>
      <w:r w:rsidRPr="002A5D8C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 xml:space="preserve"> المؤرخ في </w:t>
      </w:r>
      <w:r w:rsidR="002A5D8C" w:rsidRPr="002A5D8C"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>6</w:t>
      </w:r>
      <w:r w:rsidRPr="002A5D8C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>/</w:t>
      </w:r>
      <w:r w:rsidR="002A5D8C" w:rsidRPr="002A5D8C"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>2</w:t>
      </w:r>
      <w:r w:rsidRPr="002A5D8C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bidi="ar-JO"/>
        </w:rPr>
        <w:t>/201</w:t>
      </w:r>
      <w:r w:rsidR="002A5D8C" w:rsidRPr="002A5D8C">
        <w:rPr>
          <w:rFonts w:ascii="Times New Roman" w:eastAsia="Times New Roman" w:hAnsi="Times New Roman" w:cs="Simplified Arabic" w:hint="cs"/>
          <w:b/>
          <w:bCs/>
          <w:noProof/>
          <w:sz w:val="30"/>
          <w:szCs w:val="30"/>
          <w:rtl/>
          <w:lang w:bidi="ar-JO"/>
        </w:rPr>
        <w:t>7</w:t>
      </w:r>
    </w:p>
    <w:p w:rsidR="001011DB" w:rsidRPr="001011DB" w:rsidRDefault="00761197" w:rsidP="00761197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noProof/>
          <w:rtl/>
          <w:lang w:bidi="ar-JO"/>
        </w:rPr>
      </w:pPr>
      <w:r>
        <w:rPr>
          <w:rFonts w:ascii="Times New Roman" w:eastAsia="Times New Roman" w:hAnsi="Times New Roman" w:cs="Simplified Arabic" w:hint="cs"/>
          <w:b/>
          <w:bCs/>
          <w:noProof/>
          <w:rtl/>
          <w:lang w:bidi="ar-JO"/>
        </w:rPr>
        <w:t>********************</w:t>
      </w:r>
    </w:p>
    <w:p w:rsidR="001011DB" w:rsidRPr="000A7FAD" w:rsidRDefault="001011DB" w:rsidP="0010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Mudir MT"/>
          <w:b/>
          <w:bCs/>
          <w:sz w:val="20"/>
          <w:szCs w:val="20"/>
          <w:rtl/>
        </w:rPr>
      </w:pPr>
    </w:p>
    <w:p w:rsidR="002A5D8C" w:rsidRPr="00CD27AA" w:rsidRDefault="001011DB" w:rsidP="00971929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27AA">
        <w:rPr>
          <w:rFonts w:ascii="Simplified Arabic" w:hAnsi="Simplified Arabic" w:cs="Simplified Arabic" w:hint="cs"/>
          <w:sz w:val="30"/>
          <w:szCs w:val="30"/>
          <w:rtl/>
        </w:rPr>
        <w:t xml:space="preserve">المادة (1): 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يشترط لانتقال الطالب 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>إلى الجامعة ال</w:t>
      </w:r>
      <w:r w:rsidR="00971929">
        <w:rPr>
          <w:rFonts w:ascii="Simplified Arabic" w:hAnsi="Simplified Arabic" w:cs="Simplified Arabic" w:hint="cs"/>
          <w:sz w:val="30"/>
          <w:szCs w:val="30"/>
          <w:rtl/>
        </w:rPr>
        <w:t>ه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اشمية 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أن يكون مقبولاً ضمن القوائم الصادرة عن وحدة تنسيق القبول الموحد.</w:t>
      </w:r>
    </w:p>
    <w:p w:rsidR="001011DB" w:rsidRPr="000A7FAD" w:rsidRDefault="001011DB" w:rsidP="001011DB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011DB" w:rsidRPr="00CD27AA" w:rsidRDefault="001011DB" w:rsidP="00761197">
      <w:pPr>
        <w:pStyle w:val="ListParagraph"/>
        <w:tabs>
          <w:tab w:val="left" w:pos="364"/>
        </w:tabs>
        <w:spacing w:before="240"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27AA">
        <w:rPr>
          <w:rFonts w:ascii="Simplified Arabic" w:hAnsi="Simplified Arabic" w:cs="Simplified Arabic" w:hint="cs"/>
          <w:sz w:val="30"/>
          <w:szCs w:val="30"/>
          <w:rtl/>
        </w:rPr>
        <w:t xml:space="preserve">المادة (2): 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>يُحال طلب الانتقال إلى ال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لجنة 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>ال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طبية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 المعتمدة في الجامعة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 لدراسة حالة الطالب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 إذا ما كانت تستدعي تواجده قريباً من الجامعة الهاشمية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، مشفوعة بالتقارير الطبية الثبوتية من أطباء الاختصاص واللجان ال</w:t>
      </w:r>
      <w:r w:rsidR="000A7FAD">
        <w:rPr>
          <w:rFonts w:ascii="Simplified Arabic" w:hAnsi="Simplified Arabic" w:cs="Simplified Arabic" w:hint="cs"/>
          <w:sz w:val="30"/>
          <w:szCs w:val="30"/>
          <w:rtl/>
        </w:rPr>
        <w:t>لوائية في المحافظة وفقاً للأصول.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1011DB" w:rsidRPr="000A7FAD" w:rsidRDefault="001011DB" w:rsidP="001011DB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011DB" w:rsidRPr="00CD27AA" w:rsidRDefault="001011DB" w:rsidP="00BA09B0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27AA">
        <w:rPr>
          <w:rFonts w:ascii="Simplified Arabic" w:hAnsi="Simplified Arabic" w:cs="Simplified Arabic" w:hint="cs"/>
          <w:sz w:val="30"/>
          <w:szCs w:val="30"/>
          <w:rtl/>
        </w:rPr>
        <w:t xml:space="preserve">المادة (3): 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يكون انتقال الطالب إلى نفس التخصص الذي قبل فيه في جامعته الأصلية إذا كان موجوداً في الجامعة</w:t>
      </w:r>
      <w:r w:rsidR="00567101">
        <w:rPr>
          <w:rFonts w:ascii="Simplified Arabic" w:hAnsi="Simplified Arabic" w:cs="Simplified Arabic" w:hint="cs"/>
          <w:sz w:val="30"/>
          <w:szCs w:val="30"/>
          <w:rtl/>
        </w:rPr>
        <w:t xml:space="preserve"> الهاشمية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، وفي حال لم يكن تخصصه موجوداً في الجامعة ينظر مجلس العمداء في التخصص المناسب للطالب.</w:t>
      </w:r>
    </w:p>
    <w:p w:rsidR="001011DB" w:rsidRPr="000A7FAD" w:rsidRDefault="001011DB" w:rsidP="001011DB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2A5D8C" w:rsidRDefault="001011DB" w:rsidP="00195E36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27AA">
        <w:rPr>
          <w:rFonts w:ascii="Simplified Arabic" w:hAnsi="Simplified Arabic" w:cs="Simplified Arabic" w:hint="cs"/>
          <w:sz w:val="30"/>
          <w:szCs w:val="30"/>
          <w:rtl/>
        </w:rPr>
        <w:t xml:space="preserve">المادة (4): 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يكون الانتقال مؤقتاً لمدة فصل دراسي واحد قابل للتجديد في حال </w:t>
      </w:r>
      <w:r w:rsidR="00567101">
        <w:rPr>
          <w:rFonts w:ascii="Simplified Arabic" w:hAnsi="Simplified Arabic" w:cs="Simplified Arabic" w:hint="cs"/>
          <w:sz w:val="30"/>
          <w:szCs w:val="30"/>
          <w:rtl/>
        </w:rPr>
        <w:t>قد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م كتاباً </w:t>
      </w:r>
      <w:r w:rsidR="00567101">
        <w:rPr>
          <w:rFonts w:ascii="Simplified Arabic" w:hAnsi="Simplified Arabic" w:cs="Simplified Arabic" w:hint="cs"/>
          <w:sz w:val="30"/>
          <w:szCs w:val="30"/>
          <w:rtl/>
        </w:rPr>
        <w:t xml:space="preserve">خطياً 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من الحاكم الإداري في اللواء يش</w:t>
      </w:r>
      <w:r w:rsidR="000A7FAD">
        <w:rPr>
          <w:rFonts w:ascii="Simplified Arabic" w:hAnsi="Simplified Arabic" w:cs="Simplified Arabic" w:hint="cs"/>
          <w:sz w:val="30"/>
          <w:szCs w:val="30"/>
          <w:rtl/>
        </w:rPr>
        <w:t>ير إلى استمرار القضية العشائرية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 وأن الطالب مشمول بقانون العشائر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، أو تقريراً طبياً يفيد باستمرار </w:t>
      </w:r>
      <w:r w:rsidR="000A7FAD">
        <w:rPr>
          <w:rFonts w:ascii="Simplified Arabic" w:hAnsi="Simplified Arabic" w:cs="Simplified Arabic" w:hint="cs"/>
          <w:sz w:val="30"/>
          <w:szCs w:val="30"/>
          <w:rtl/>
        </w:rPr>
        <w:t>ال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>حالة</w:t>
      </w:r>
      <w:r w:rsidR="000A7FAD">
        <w:rPr>
          <w:rFonts w:ascii="Simplified Arabic" w:hAnsi="Simplified Arabic" w:cs="Simplified Arabic" w:hint="cs"/>
          <w:sz w:val="30"/>
          <w:szCs w:val="30"/>
          <w:rtl/>
        </w:rPr>
        <w:t xml:space="preserve"> الصحية للطالب التي انتقل على أساسها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1011DB" w:rsidRPr="000A7FAD" w:rsidRDefault="002A5D8C" w:rsidP="002A5D8C">
      <w:pPr>
        <w:pStyle w:val="ListParagraph"/>
        <w:tabs>
          <w:tab w:val="left" w:pos="1231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0A7FAD">
        <w:rPr>
          <w:rFonts w:ascii="Simplified Arabic" w:hAnsi="Simplified Arabic" w:cs="Simplified Arabic"/>
          <w:sz w:val="20"/>
          <w:szCs w:val="20"/>
          <w:rtl/>
        </w:rPr>
        <w:tab/>
      </w:r>
    </w:p>
    <w:p w:rsidR="002A5D8C" w:rsidRPr="00CD27AA" w:rsidRDefault="001011DB" w:rsidP="00195E36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27AA">
        <w:rPr>
          <w:rFonts w:ascii="Simplified Arabic" w:hAnsi="Simplified Arabic" w:cs="Simplified Arabic" w:hint="cs"/>
          <w:sz w:val="30"/>
          <w:szCs w:val="30"/>
          <w:rtl/>
        </w:rPr>
        <w:t xml:space="preserve">المادة (5): 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في حال استمرار القضية العشائرية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 أو الحالة الطبية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 xml:space="preserve"> واجتاز الطالب أكثر من (50%) من خطته الدراسية في الجامعة أو وصل إلى فصل التخرج يمنح الدرجة العلمية التي يستحقها من الجامعة</w:t>
      </w:r>
      <w:r w:rsidR="000A7FAD">
        <w:rPr>
          <w:rFonts w:ascii="Simplified Arabic" w:hAnsi="Simplified Arabic" w:cs="Simplified Arabic" w:hint="cs"/>
          <w:sz w:val="30"/>
          <w:szCs w:val="30"/>
          <w:rtl/>
        </w:rPr>
        <w:t xml:space="preserve"> الهاشمية وعلى الطالب أن يزود الجامعة الهاشمية بكتاب رسمي يوضح فيه المواد التي درسها وعلاماته فيها وجهة الانفاق والعقوبات التأديبية المفروضة عليه</w:t>
      </w:r>
      <w:r w:rsidR="00195E36">
        <w:rPr>
          <w:rFonts w:ascii="Simplified Arabic" w:hAnsi="Simplified Arabic" w:cs="Simplified Arabic" w:hint="cs"/>
          <w:sz w:val="30"/>
          <w:szCs w:val="30"/>
          <w:rtl/>
        </w:rPr>
        <w:t xml:space="preserve"> من جامعته</w:t>
      </w:r>
      <w:r w:rsidR="002A5D8C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8C0BBD" w:rsidRPr="00CD27AA" w:rsidRDefault="008C0BBD" w:rsidP="001011DB">
      <w:pPr>
        <w:pStyle w:val="ListParagraph"/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FB5234" w:rsidRDefault="002A5D8C" w:rsidP="007C160B">
      <w:pPr>
        <w:pStyle w:val="ListParagraph"/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lastRenderedPageBreak/>
        <w:t xml:space="preserve">المادة (6): يشترط أن لا يكون </w:t>
      </w:r>
      <w:r w:rsidR="007C160B">
        <w:rPr>
          <w:rFonts w:ascii="Simplified Arabic" w:hAnsi="Simplified Arabic" w:cs="Simplified Arabic" w:hint="cs"/>
          <w:sz w:val="30"/>
          <w:szCs w:val="30"/>
          <w:rtl/>
        </w:rPr>
        <w:t>الطالب متمتعاً بأي من الإ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عفاءات </w:t>
      </w:r>
      <w:r w:rsidR="007C160B">
        <w:rPr>
          <w:rFonts w:ascii="Simplified Arabic" w:hAnsi="Simplified Arabic" w:cs="Simplified Arabic" w:hint="cs"/>
          <w:sz w:val="30"/>
          <w:szCs w:val="30"/>
          <w:rtl/>
        </w:rPr>
        <w:t>المتعلقة بالإ</w:t>
      </w:r>
      <w:r w:rsidR="00FB5234">
        <w:rPr>
          <w:rFonts w:ascii="Simplified Arabic" w:hAnsi="Simplified Arabic" w:cs="Simplified Arabic" w:hint="cs"/>
          <w:sz w:val="30"/>
          <w:szCs w:val="30"/>
          <w:rtl/>
        </w:rPr>
        <w:t>ع</w:t>
      </w:r>
      <w:r w:rsidR="007C160B">
        <w:rPr>
          <w:rFonts w:ascii="Simplified Arabic" w:hAnsi="Simplified Arabic" w:cs="Simplified Arabic" w:hint="cs"/>
          <w:sz w:val="30"/>
          <w:szCs w:val="30"/>
          <w:rtl/>
        </w:rPr>
        <w:t>ف</w:t>
      </w:r>
      <w:r w:rsidR="00FB5234">
        <w:rPr>
          <w:rFonts w:ascii="Simplified Arabic" w:hAnsi="Simplified Arabic" w:cs="Simplified Arabic" w:hint="cs"/>
          <w:sz w:val="30"/>
          <w:szCs w:val="30"/>
          <w:rtl/>
        </w:rPr>
        <w:t>اء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>من الرسوم الدراسية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</w:p>
    <w:p w:rsidR="008C0BBD" w:rsidRPr="00CD27AA" w:rsidRDefault="002A5D8C" w:rsidP="00FB5234">
      <w:pPr>
        <w:pStyle w:val="ListParagraph"/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</w:p>
    <w:p w:rsidR="002A5D8C" w:rsidRPr="00CD27AA" w:rsidRDefault="002A5D8C" w:rsidP="00F905F6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27AA">
        <w:rPr>
          <w:rFonts w:ascii="Simplified Arabic" w:hAnsi="Simplified Arabic" w:cs="Simplified Arabic" w:hint="cs"/>
          <w:sz w:val="30"/>
          <w:szCs w:val="30"/>
          <w:rtl/>
        </w:rPr>
        <w:t>المادة (</w:t>
      </w:r>
      <w:r>
        <w:rPr>
          <w:rFonts w:ascii="Simplified Arabic" w:hAnsi="Simplified Arabic" w:cs="Simplified Arabic" w:hint="cs"/>
          <w:sz w:val="30"/>
          <w:szCs w:val="30"/>
          <w:rtl/>
        </w:rPr>
        <w:t>7</w:t>
      </w:r>
      <w:r w:rsidRPr="00CD27AA">
        <w:rPr>
          <w:rFonts w:ascii="Simplified Arabic" w:hAnsi="Simplified Arabic" w:cs="Simplified Arabic" w:hint="cs"/>
          <w:sz w:val="30"/>
          <w:szCs w:val="30"/>
          <w:rtl/>
        </w:rPr>
        <w:t xml:space="preserve">): 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يشترط 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 xml:space="preserve">أن لا يخضع علاج المرض المنتقل 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الطالب 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 xml:space="preserve">على أساسه للتأمين الصحي في الجامعة الهاشمية </w:t>
      </w:r>
      <w:r w:rsidR="00FB5234">
        <w:rPr>
          <w:rFonts w:ascii="Simplified Arabic" w:hAnsi="Simplified Arabic" w:cs="Simplified Arabic" w:hint="cs"/>
          <w:sz w:val="30"/>
          <w:szCs w:val="30"/>
          <w:rtl/>
        </w:rPr>
        <w:t>و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>بما فيها الحالات الطبية التي لا يشملها التأمين الصحي.</w:t>
      </w:r>
    </w:p>
    <w:p w:rsidR="002A5D8C" w:rsidRPr="00CD27AA" w:rsidRDefault="002A5D8C" w:rsidP="002A5D8C">
      <w:pPr>
        <w:pStyle w:val="ListParagraph"/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F905F6" w:rsidRPr="00CD27AA" w:rsidRDefault="002A5D8C" w:rsidP="00FB5234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المادة (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>8</w:t>
      </w:r>
      <w:r>
        <w:rPr>
          <w:rFonts w:ascii="Simplified Arabic" w:hAnsi="Simplified Arabic" w:cs="Simplified Arabic" w:hint="cs"/>
          <w:sz w:val="30"/>
          <w:szCs w:val="30"/>
          <w:rtl/>
        </w:rPr>
        <w:t>):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ab/>
        <w:t xml:space="preserve">أن لا يكون قد أوقع عليه عقوبات </w:t>
      </w:r>
      <w:r w:rsidR="00761197">
        <w:rPr>
          <w:rFonts w:ascii="Simplified Arabic" w:hAnsi="Simplified Arabic" w:cs="Simplified Arabic" w:hint="cs"/>
          <w:sz w:val="30"/>
          <w:szCs w:val="30"/>
          <w:rtl/>
        </w:rPr>
        <w:t xml:space="preserve">تأديبية 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 xml:space="preserve">خلال دراسته في جامعته الأصلية </w:t>
      </w:r>
      <w:r w:rsidR="00FB5234">
        <w:rPr>
          <w:rFonts w:ascii="Simplified Arabic" w:hAnsi="Simplified Arabic" w:cs="Simplified Arabic" w:hint="cs"/>
          <w:sz w:val="30"/>
          <w:szCs w:val="30"/>
          <w:rtl/>
        </w:rPr>
        <w:t>ووفقاً لوثيقة إثبات رسمية من جامعته الأصلية</w:t>
      </w:r>
      <w:r w:rsidR="00F905F6"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2A5D8C" w:rsidRPr="00CD27AA" w:rsidRDefault="002A5D8C" w:rsidP="00F905F6">
      <w:pPr>
        <w:pStyle w:val="ListParagraph"/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  <w:r>
        <w:rPr>
          <w:rFonts w:ascii="Simplified Arabic" w:hAnsi="Simplified Arabic" w:cs="Simplified Arabic" w:hint="cs"/>
          <w:sz w:val="30"/>
          <w:szCs w:val="30"/>
          <w:rtl/>
        </w:rPr>
        <w:tab/>
      </w:r>
    </w:p>
    <w:p w:rsidR="00761197" w:rsidRDefault="00761197" w:rsidP="00761197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المادة (9):</w:t>
      </w:r>
      <w:r>
        <w:rPr>
          <w:rFonts w:ascii="Simplified Arabic" w:hAnsi="Simplified Arabic" w:cs="Simplified Arabic" w:hint="cs"/>
          <w:sz w:val="30"/>
          <w:szCs w:val="30"/>
          <w:rtl/>
        </w:rPr>
        <w:tab/>
        <w:t>يلتزم الطالب بتقديم جميع الوثائق والأوراق المطلوبة للنظر في انتقاله إلى الجامعة الهاشمية.</w:t>
      </w:r>
    </w:p>
    <w:p w:rsidR="00761197" w:rsidRPr="00CD27AA" w:rsidRDefault="00761197" w:rsidP="00761197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761197" w:rsidRDefault="00761197" w:rsidP="007C160B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المادة (10):</w:t>
      </w:r>
      <w:r w:rsidR="00FB523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7C160B">
        <w:rPr>
          <w:rFonts w:ascii="Simplified Arabic" w:hAnsi="Simplified Arabic" w:cs="Simplified Arabic" w:hint="cs"/>
          <w:sz w:val="30"/>
          <w:szCs w:val="30"/>
          <w:rtl/>
        </w:rPr>
        <w:t>يبت مجلس العمداء في الحالات التي لم يرد عليها نص في هذه الأسس</w:t>
      </w:r>
      <w:r>
        <w:rPr>
          <w:rFonts w:ascii="Simplified Arabic" w:hAnsi="Simplified Arabic" w:cs="Simplified Arabic" w:hint="cs"/>
          <w:sz w:val="30"/>
          <w:szCs w:val="30"/>
          <w:rtl/>
        </w:rPr>
        <w:t>.</w:t>
      </w:r>
    </w:p>
    <w:p w:rsidR="007C160B" w:rsidRPr="00CD27AA" w:rsidRDefault="007C160B" w:rsidP="00FB5234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7C160B" w:rsidRPr="00CD27AA" w:rsidRDefault="007C160B" w:rsidP="007C160B">
      <w:pPr>
        <w:pStyle w:val="ListParagraph"/>
        <w:tabs>
          <w:tab w:val="left" w:pos="364"/>
        </w:tabs>
        <w:spacing w:line="240" w:lineRule="auto"/>
        <w:ind w:left="1218" w:hanging="1134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المادة (11): صدرت هذه الأسس بناءً على تفويض من مجلس التعليم العالي في جلسته رقم (22) بتاريخ 27/10/2016، ويعمل بها من تاريخ إقرارها من مجلس العمداء.</w:t>
      </w:r>
    </w:p>
    <w:p w:rsidR="00DA1DD5" w:rsidRPr="001011DB" w:rsidRDefault="00DA1DD5" w:rsidP="00761197">
      <w:pPr>
        <w:ind w:left="1218" w:hanging="1134"/>
        <w:rPr>
          <w:sz w:val="30"/>
          <w:szCs w:val="30"/>
        </w:rPr>
      </w:pPr>
    </w:p>
    <w:sectPr w:rsidR="00DA1DD5" w:rsidRPr="001011DB" w:rsidSect="000A7FAD">
      <w:footerReference w:type="default" r:id="rId7"/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71" w:rsidRDefault="008C0171" w:rsidP="00CD27AA">
      <w:pPr>
        <w:spacing w:after="0" w:line="240" w:lineRule="auto"/>
      </w:pPr>
      <w:r>
        <w:separator/>
      </w:r>
    </w:p>
  </w:endnote>
  <w:endnote w:type="continuationSeparator" w:id="1">
    <w:p w:rsidR="008C0171" w:rsidRDefault="008C0171" w:rsidP="00CD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97" w:rsidRDefault="00761197" w:rsidP="00761197">
    <w:pPr>
      <w:pBdr>
        <w:top w:val="single" w:sz="4" w:space="1" w:color="auto"/>
      </w:pBdr>
      <w:spacing w:after="0" w:line="240" w:lineRule="auto"/>
      <w:ind w:left="84"/>
      <w:jc w:val="both"/>
      <w:rPr>
        <w:rFonts w:ascii="Times New Roman" w:eastAsia="Times New Roman" w:hAnsi="Times New Roman" w:cs="Simplified Arabic"/>
        <w:noProof/>
        <w:sz w:val="18"/>
        <w:szCs w:val="18"/>
        <w:rtl/>
        <w:lang w:bidi="ar-JO"/>
      </w:rPr>
    </w:pPr>
    <w:r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>"</w:t>
    </w:r>
    <w:r w:rsidR="00F905F6"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 xml:space="preserve">أسس انتقال الطلبة </w:t>
    </w:r>
    <w:r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>من</w:t>
    </w:r>
    <w:r w:rsidR="00F905F6"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 xml:space="preserve"> الجامع</w:t>
    </w:r>
    <w:r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>ات</w:t>
    </w:r>
    <w:r w:rsidR="00F905F6"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 xml:space="preserve"> الحكومية</w:t>
    </w:r>
    <w:r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 xml:space="preserve"> إلى الجامعة الهاشمية</w:t>
    </w:r>
    <w:r w:rsidRPr="00761197">
      <w:rPr>
        <w:rFonts w:ascii="Times New Roman" w:eastAsia="Times New Roman" w:hAnsi="Times New Roman" w:cs="Simplified Arabic"/>
        <w:noProof/>
        <w:sz w:val="18"/>
        <w:szCs w:val="18"/>
        <w:rtl/>
        <w:lang w:bidi="ar-JO"/>
      </w:rPr>
      <w:t xml:space="preserve"> لسنة 201</w:t>
    </w:r>
    <w:r w:rsidRPr="00761197"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 xml:space="preserve">7 </w:t>
    </w:r>
    <w:r>
      <w:rPr>
        <w:rFonts w:ascii="Times New Roman" w:eastAsia="Times New Roman" w:hAnsi="Times New Roman" w:cs="Simplified Arabic" w:hint="cs"/>
        <w:noProof/>
        <w:sz w:val="18"/>
        <w:szCs w:val="18"/>
        <w:rtl/>
        <w:lang w:bidi="ar-JO"/>
      </w:rPr>
      <w:t>"</w:t>
    </w:r>
  </w:p>
  <w:p w:rsidR="002A5D8C" w:rsidRDefault="0076483B" w:rsidP="00CD27AA">
    <w:pPr>
      <w:spacing w:after="0" w:line="240" w:lineRule="auto"/>
      <w:ind w:left="84"/>
      <w:jc w:val="center"/>
    </w:pPr>
    <w:sdt>
      <w:sdtPr>
        <w:rPr>
          <w:rtl/>
        </w:rPr>
        <w:id w:val="6993057"/>
        <w:docPartObj>
          <w:docPartGallery w:val="Page Numbers (Bottom of Page)"/>
          <w:docPartUnique/>
        </w:docPartObj>
      </w:sdtPr>
      <w:sdtContent>
        <w:fldSimple w:instr=" PAGE   \* MERGEFORMAT ">
          <w:r w:rsidR="00BA09B0">
            <w:rPr>
              <w:noProof/>
              <w:rtl/>
            </w:rPr>
            <w:t>1</w:t>
          </w:r>
        </w:fldSimple>
      </w:sdtContent>
    </w:sdt>
  </w:p>
  <w:p w:rsidR="002A5D8C" w:rsidRDefault="002A5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71" w:rsidRDefault="008C0171" w:rsidP="00CD27AA">
      <w:pPr>
        <w:spacing w:after="0" w:line="240" w:lineRule="auto"/>
      </w:pPr>
      <w:r>
        <w:separator/>
      </w:r>
    </w:p>
  </w:footnote>
  <w:footnote w:type="continuationSeparator" w:id="1">
    <w:p w:rsidR="008C0171" w:rsidRDefault="008C0171" w:rsidP="00CD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1DB"/>
    <w:rsid w:val="000718C3"/>
    <w:rsid w:val="000A7FAD"/>
    <w:rsid w:val="000D3BC7"/>
    <w:rsid w:val="0010089E"/>
    <w:rsid w:val="001011DB"/>
    <w:rsid w:val="00195E36"/>
    <w:rsid w:val="00267E7A"/>
    <w:rsid w:val="002A5D8C"/>
    <w:rsid w:val="0038369A"/>
    <w:rsid w:val="003A19ED"/>
    <w:rsid w:val="003D48FB"/>
    <w:rsid w:val="00453598"/>
    <w:rsid w:val="00485786"/>
    <w:rsid w:val="00487E46"/>
    <w:rsid w:val="0056424D"/>
    <w:rsid w:val="00567101"/>
    <w:rsid w:val="005E392C"/>
    <w:rsid w:val="00652AE0"/>
    <w:rsid w:val="00761197"/>
    <w:rsid w:val="0076483B"/>
    <w:rsid w:val="007C160B"/>
    <w:rsid w:val="008014A5"/>
    <w:rsid w:val="008C0171"/>
    <w:rsid w:val="008C0BBD"/>
    <w:rsid w:val="00971929"/>
    <w:rsid w:val="00A5013F"/>
    <w:rsid w:val="00B040CE"/>
    <w:rsid w:val="00B15378"/>
    <w:rsid w:val="00BA09B0"/>
    <w:rsid w:val="00BC3F72"/>
    <w:rsid w:val="00BE4416"/>
    <w:rsid w:val="00C27440"/>
    <w:rsid w:val="00CD0116"/>
    <w:rsid w:val="00CD27AA"/>
    <w:rsid w:val="00D5676A"/>
    <w:rsid w:val="00DA1DD5"/>
    <w:rsid w:val="00DA4263"/>
    <w:rsid w:val="00E62264"/>
    <w:rsid w:val="00E65B45"/>
    <w:rsid w:val="00F36771"/>
    <w:rsid w:val="00F71423"/>
    <w:rsid w:val="00F905F6"/>
    <w:rsid w:val="00FB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DB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D2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AA"/>
  </w:style>
  <w:style w:type="paragraph" w:styleId="Footer">
    <w:name w:val="footer"/>
    <w:basedOn w:val="Normal"/>
    <w:link w:val="FooterChar"/>
    <w:uiPriority w:val="99"/>
    <w:unhideWhenUsed/>
    <w:rsid w:val="00CD2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8F93-7B85-48C8-B68E-5EEA7216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2017-02-19T01:35:00Z</cp:lastPrinted>
  <dcterms:created xsi:type="dcterms:W3CDTF">2017-02-07T01:31:00Z</dcterms:created>
  <dcterms:modified xsi:type="dcterms:W3CDTF">2017-02-19T01:44:00Z</dcterms:modified>
</cp:coreProperties>
</file>