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48" w:rsidRPr="00940042" w:rsidRDefault="007F5A48" w:rsidP="007F5A48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940042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FFC000" w:themeFill="accent4"/>
          <w:rtl/>
          <w:lang w:bidi="ar-JO"/>
        </w:rPr>
        <w:t>اهم انتاجات الزملاء العلمية</w:t>
      </w:r>
      <w:r w:rsidRPr="00940042">
        <w:rPr>
          <w:rFonts w:asciiTheme="majorBidi" w:hAnsiTheme="majorBidi" w:cstheme="majorBidi" w:hint="cs"/>
          <w:b/>
          <w:bCs/>
          <w:sz w:val="28"/>
          <w:szCs w:val="28"/>
          <w:shd w:val="clear" w:color="auto" w:fill="FFC000" w:themeFill="accent4"/>
          <w:rtl/>
          <w:lang w:bidi="ar-JO"/>
        </w:rPr>
        <w:t xml:space="preserve"> :</w:t>
      </w:r>
    </w:p>
    <w:p w:rsidR="007F5A48" w:rsidRPr="00940042" w:rsidRDefault="007F5A48" w:rsidP="007F5A48">
      <w:pPr>
        <w:pStyle w:val="ListParagraph"/>
        <w:numPr>
          <w:ilvl w:val="0"/>
          <w:numId w:val="1"/>
        </w:numPr>
        <w:spacing w:line="360" w:lineRule="auto"/>
        <w:ind w:left="941"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0042">
        <w:rPr>
          <w:rFonts w:ascii="Simplified Arabic" w:hAnsi="Simplified Arabic" w:cs="Simplified Arabic"/>
          <w:sz w:val="28"/>
          <w:szCs w:val="28"/>
          <w:rtl/>
        </w:rPr>
        <w:t>الأستاذ الدكتور سلطان المعاني/ قسم السياحة المستدامة</w:t>
      </w:r>
    </w:p>
    <w:p w:rsidR="007F5A48" w:rsidRPr="00940042" w:rsidRDefault="007F5A48" w:rsidP="007F5A48">
      <w:pPr>
        <w:bidi w:val="0"/>
        <w:spacing w:line="360" w:lineRule="auto"/>
        <w:ind w:left="-709" w:hanging="284"/>
        <w:jc w:val="both"/>
        <w:rPr>
          <w:rFonts w:asciiTheme="majorBidi" w:hAnsiTheme="majorBidi" w:cstheme="majorBidi"/>
          <w:sz w:val="28"/>
          <w:szCs w:val="28"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   Prof. Dr. Sultan Al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Maani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 &amp; Prof. Dr. Mahdi 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Zuobi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>, ADUMATO</w:t>
      </w:r>
    </w:p>
    <w:p w:rsidR="007F5A48" w:rsidRPr="00940042" w:rsidRDefault="007F5A48" w:rsidP="007F5A48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New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Safaitic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inscriptions from al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cAwshaji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al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Janoubi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-Northeastern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Bādyia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Jordan</w:t>
      </w:r>
    </w:p>
    <w:p w:rsidR="007F5A48" w:rsidRDefault="007F5A48" w:rsidP="007F5A48">
      <w:pPr>
        <w:bidi w:val="0"/>
        <w:spacing w:line="360" w:lineRule="auto"/>
        <w:ind w:left="-709" w:hanging="284"/>
        <w:jc w:val="both"/>
        <w:rPr>
          <w:rFonts w:asciiTheme="majorBidi" w:hAnsiTheme="majorBidi" w:cstheme="majorBidi"/>
          <w:sz w:val="28"/>
          <w:szCs w:val="28"/>
        </w:rPr>
      </w:pPr>
    </w:p>
    <w:p w:rsidR="007F5A48" w:rsidRPr="00940042" w:rsidRDefault="007F5A48" w:rsidP="007F5A48">
      <w:pPr>
        <w:bidi w:val="0"/>
        <w:spacing w:line="360" w:lineRule="auto"/>
        <w:ind w:left="-709" w:hanging="284"/>
        <w:jc w:val="both"/>
        <w:rPr>
          <w:rFonts w:asciiTheme="majorBidi" w:hAnsiTheme="majorBidi" w:cstheme="majorBidi"/>
          <w:sz w:val="28"/>
          <w:szCs w:val="28"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Prof. Dr. Sultan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AlMaani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 &amp; Prof. Dr. Mahdi 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Zuobi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>, ADUMATO</w:t>
      </w:r>
    </w:p>
    <w:p w:rsidR="007F5A48" w:rsidRPr="00940042" w:rsidRDefault="007F5A48" w:rsidP="007F5A48">
      <w:pPr>
        <w:bidi w:val="0"/>
        <w:spacing w:line="240" w:lineRule="auto"/>
        <w:ind w:hanging="99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rtl/>
        </w:rPr>
        <w:t>كتاب: نقوش عربية قديمة من بادية المفرق، منشورات وزارة الثقافة</w:t>
      </w:r>
    </w:p>
    <w:p w:rsidR="007F5A48" w:rsidRPr="00940042" w:rsidRDefault="007F5A48" w:rsidP="007F5A48">
      <w:pPr>
        <w:bidi w:val="0"/>
        <w:spacing w:line="240" w:lineRule="auto"/>
        <w:ind w:hanging="99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Some New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Safaitic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Inscriptions from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Dhuweila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–Jordan</w:t>
      </w:r>
    </w:p>
    <w:p w:rsidR="007F5A48" w:rsidRPr="00940042" w:rsidRDefault="007F5A48" w:rsidP="007F5A48">
      <w:pPr>
        <w:bidi w:val="0"/>
        <w:spacing w:line="360" w:lineRule="auto"/>
        <w:ind w:left="-993"/>
        <w:jc w:val="both"/>
        <w:rPr>
          <w:rFonts w:asciiTheme="majorBidi" w:hAnsiTheme="majorBidi" w:cstheme="majorBidi"/>
          <w:sz w:val="28"/>
          <w:szCs w:val="28"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Dr. Mahdi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Alzoubi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0042">
        <w:rPr>
          <w:rFonts w:asciiTheme="majorBidi" w:hAnsiTheme="majorBidi" w:cstheme="majorBidi"/>
          <w:sz w:val="28"/>
          <w:szCs w:val="28"/>
        </w:rPr>
        <w:t>&amp;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0042">
        <w:rPr>
          <w:rFonts w:asciiTheme="majorBidi" w:hAnsiTheme="majorBidi" w:cstheme="majorBidi"/>
          <w:sz w:val="28"/>
          <w:szCs w:val="28"/>
        </w:rPr>
        <w:t xml:space="preserve">Prof. Sultan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Maani</w:t>
      </w:r>
      <w:proofErr w:type="spellEnd"/>
    </w:p>
    <w:p w:rsidR="007F5A48" w:rsidRPr="00940042" w:rsidRDefault="007F5A48" w:rsidP="007F5A4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7F5A48" w:rsidRPr="00940042" w:rsidRDefault="007F5A48" w:rsidP="007F5A48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940042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E637A79" wp14:editId="295E573D">
            <wp:extent cx="3010064" cy="2085975"/>
            <wp:effectExtent l="19050" t="0" r="0" b="0"/>
            <wp:docPr id="1" name="Picture 1" descr="C:\Users\hp\Desktop\الابحاث 2017\غلاف-نقوش-عربية-شما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الابحاث 2017\غلاف-نقوش-عربية-شما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36" cy="21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48" w:rsidRDefault="007F5A48" w:rsidP="007F5A48">
      <w:pPr>
        <w:pStyle w:val="ListParagraph"/>
        <w:spacing w:line="360" w:lineRule="auto"/>
        <w:ind w:left="36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7F5A48" w:rsidRPr="00940042" w:rsidRDefault="007F5A48" w:rsidP="007F5A48">
      <w:pPr>
        <w:pStyle w:val="ListParagraph"/>
        <w:spacing w:line="360" w:lineRule="auto"/>
        <w:ind w:left="368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7F5A48" w:rsidRPr="00940042" w:rsidRDefault="007F5A48" w:rsidP="007F5A48">
      <w:pPr>
        <w:pStyle w:val="ListParagraph"/>
        <w:numPr>
          <w:ilvl w:val="0"/>
          <w:numId w:val="1"/>
        </w:numPr>
        <w:spacing w:line="360" w:lineRule="auto"/>
        <w:ind w:left="368" w:hanging="1356"/>
        <w:rPr>
          <w:rFonts w:asciiTheme="majorBidi" w:hAnsiTheme="majorBidi" w:cstheme="majorBidi"/>
          <w:b/>
          <w:bCs/>
          <w:sz w:val="28"/>
          <w:szCs w:val="28"/>
        </w:rPr>
      </w:pPr>
      <w:r w:rsidRPr="00940042">
        <w:rPr>
          <w:rFonts w:ascii="Simplified Arabic" w:hAnsi="Simplified Arabic" w:cs="Simplified Arabic"/>
          <w:sz w:val="28"/>
          <w:szCs w:val="28"/>
          <w:rtl/>
        </w:rPr>
        <w:t xml:space="preserve">الدكتور </w:t>
      </w:r>
      <w:r w:rsidRPr="009400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فادي بلعاوي</w:t>
      </w:r>
      <w:r w:rsidRPr="00940042">
        <w:rPr>
          <w:rFonts w:ascii="Simplified Arabic" w:hAnsi="Simplified Arabic" w:cs="Simplified Arabic"/>
          <w:sz w:val="28"/>
          <w:szCs w:val="28"/>
          <w:rtl/>
        </w:rPr>
        <w:t>/ قسم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40042">
        <w:rPr>
          <w:rFonts w:ascii="Simplified Arabic" w:hAnsi="Simplified Arabic" w:cs="Simplified Arabic" w:hint="cs"/>
          <w:sz w:val="28"/>
          <w:szCs w:val="28"/>
          <w:rtl/>
        </w:rPr>
        <w:t>المحافظة على الاثار</w:t>
      </w:r>
    </w:p>
    <w:p w:rsidR="007F5A48" w:rsidRPr="00940042" w:rsidRDefault="007F5A48" w:rsidP="007F5A48">
      <w:pPr>
        <w:pStyle w:val="Einzug"/>
        <w:spacing w:before="100" w:beforeAutospacing="1" w:after="100"/>
        <w:ind w:left="142" w:right="-340"/>
        <w:rPr>
          <w:b/>
          <w:bCs/>
          <w:sz w:val="28"/>
          <w:szCs w:val="28"/>
        </w:rPr>
      </w:pPr>
      <w:r w:rsidRPr="00940042">
        <w:rPr>
          <w:b/>
          <w:bCs/>
          <w:sz w:val="28"/>
          <w:szCs w:val="28"/>
          <w:lang w:val="en-US" w:eastAsia="en-US"/>
        </w:rPr>
        <w:t xml:space="preserve">-F., </w:t>
      </w:r>
      <w:proofErr w:type="spellStart"/>
      <w:r w:rsidRPr="00940042">
        <w:rPr>
          <w:b/>
          <w:bCs/>
          <w:sz w:val="28"/>
          <w:szCs w:val="28"/>
          <w:lang w:val="en-US" w:eastAsia="en-US"/>
        </w:rPr>
        <w:t>Bala'awi</w:t>
      </w:r>
      <w:proofErr w:type="spellEnd"/>
      <w:r w:rsidRPr="00940042">
        <w:rPr>
          <w:b/>
          <w:bCs/>
          <w:sz w:val="28"/>
          <w:szCs w:val="28"/>
          <w:lang w:val="en-US" w:eastAsia="en-US"/>
        </w:rPr>
        <w:t xml:space="preserve"> and M., Mustafa 2017.</w:t>
      </w:r>
      <w:r w:rsidRPr="00940042">
        <w:rPr>
          <w:b/>
          <w:bCs/>
          <w:sz w:val="28"/>
          <w:szCs w:val="28"/>
          <w:u w:val="single"/>
          <w:lang w:val="en-US" w:eastAsia="en-US"/>
        </w:rPr>
        <w:t xml:space="preserve">Cultural Heritage Site under Risk: A Case Study from Petra, Jordan. </w:t>
      </w:r>
      <w:r w:rsidRPr="00940042">
        <w:rPr>
          <w:b/>
          <w:bCs/>
          <w:i/>
          <w:iCs/>
          <w:sz w:val="28"/>
          <w:szCs w:val="28"/>
          <w:u w:val="single"/>
          <w:lang w:bidi="ar-JO"/>
        </w:rPr>
        <w:t xml:space="preserve">Mediterranean Archaeology &amp; </w:t>
      </w:r>
      <w:proofErr w:type="spellStart"/>
      <w:r w:rsidRPr="00940042">
        <w:rPr>
          <w:b/>
          <w:bCs/>
          <w:i/>
          <w:iCs/>
          <w:sz w:val="28"/>
          <w:szCs w:val="28"/>
          <w:u w:val="single"/>
          <w:lang w:bidi="ar-JO"/>
        </w:rPr>
        <w:t>Archaeometry</w:t>
      </w:r>
      <w:proofErr w:type="spellEnd"/>
      <w:r w:rsidRPr="00940042">
        <w:rPr>
          <w:b/>
          <w:bCs/>
          <w:i/>
          <w:iCs/>
          <w:sz w:val="28"/>
          <w:szCs w:val="28"/>
          <w:u w:val="single"/>
          <w:lang w:bidi="ar-JO"/>
        </w:rPr>
        <w:t xml:space="preserve"> Journal (MAA)</w:t>
      </w:r>
      <w:r w:rsidRPr="00940042">
        <w:rPr>
          <w:b/>
          <w:bCs/>
          <w:sz w:val="28"/>
          <w:szCs w:val="28"/>
          <w:u w:val="single"/>
          <w:lang w:bidi="ar-JO"/>
        </w:rPr>
        <w:t>. Vol. 17, No. 1, pp.1-14.</w:t>
      </w:r>
    </w:p>
    <w:p w:rsidR="007F5A48" w:rsidRPr="00940042" w:rsidRDefault="007F5A48" w:rsidP="007F5A48">
      <w:pPr>
        <w:bidi w:val="0"/>
        <w:ind w:left="142" w:right="-625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-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</w:rPr>
        <w:t>Almasri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</w:rPr>
        <w:t xml:space="preserve">, E.,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</w:rPr>
        <w:t>Alshawabkeh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</w:rPr>
        <w:t xml:space="preserve">, Y.,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</w:rPr>
        <w:t>Balaawi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</w:rPr>
        <w:t xml:space="preserve">, F.,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</w:rPr>
        <w:t>Shwater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</w:rPr>
        <w:t xml:space="preserve">, (2017). </w:t>
      </w: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 Enthroned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Tyche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Statue from Gadara/ Umm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Qais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, Jordan.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Acta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Historiae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Artium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Academiae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Scientiarum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Hungaricae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, Vol. (58), pp. 6-20.</w:t>
      </w:r>
    </w:p>
    <w:p w:rsidR="007F5A48" w:rsidRDefault="007F5A48" w:rsidP="007F5A48">
      <w:pPr>
        <w:pStyle w:val="ListParagraph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F5A48" w:rsidRPr="00F10A2F" w:rsidRDefault="007F5A48" w:rsidP="007F5A48">
      <w:pPr>
        <w:pStyle w:val="ListParagraph"/>
        <w:numPr>
          <w:ilvl w:val="0"/>
          <w:numId w:val="7"/>
        </w:numPr>
        <w:ind w:left="84" w:firstLine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10A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أبحاث الدكتور فادي بلعاوي: </w:t>
      </w:r>
    </w:p>
    <w:p w:rsidR="007F5A48" w:rsidRPr="00280CC9" w:rsidRDefault="007F5A48" w:rsidP="007F5A4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80CC9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280CC9">
        <w:rPr>
          <w:rFonts w:asciiTheme="majorBidi" w:hAnsiTheme="majorBidi" w:cstheme="majorBidi"/>
          <w:b/>
          <w:bCs/>
          <w:sz w:val="28"/>
          <w:szCs w:val="28"/>
        </w:rPr>
        <w:t>Fadi</w:t>
      </w:r>
      <w:proofErr w:type="spellEnd"/>
      <w:r w:rsidRPr="00280C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80CC9">
        <w:rPr>
          <w:rFonts w:asciiTheme="majorBidi" w:hAnsiTheme="majorBidi" w:cstheme="majorBidi"/>
          <w:b/>
          <w:bCs/>
          <w:sz w:val="28"/>
          <w:szCs w:val="28"/>
        </w:rPr>
        <w:t>Bala'awi</w:t>
      </w:r>
      <w:proofErr w:type="spellEnd"/>
      <w:r w:rsidRPr="00280CC9">
        <w:rPr>
          <w:rFonts w:asciiTheme="majorBidi" w:hAnsiTheme="majorBidi" w:cstheme="majorBidi"/>
          <w:b/>
          <w:bCs/>
          <w:sz w:val="28"/>
          <w:szCs w:val="28"/>
        </w:rPr>
        <w:t xml:space="preserve"> Publishing list 2018</w:t>
      </w:r>
    </w:p>
    <w:p w:rsidR="007F5A48" w:rsidRPr="00130C79" w:rsidRDefault="007F5A48" w:rsidP="007F5A48">
      <w:pPr>
        <w:pStyle w:val="ListParagraph"/>
        <w:numPr>
          <w:ilvl w:val="0"/>
          <w:numId w:val="8"/>
        </w:numPr>
        <w:bidi w:val="0"/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30C79">
        <w:rPr>
          <w:rFonts w:asciiTheme="majorBidi" w:hAnsiTheme="majorBidi" w:cstheme="majorBidi"/>
          <w:sz w:val="28"/>
          <w:szCs w:val="28"/>
        </w:rPr>
        <w:t>Eyad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 Almasri</w:t>
      </w:r>
      <w:r w:rsidRPr="00130C79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130C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Mairna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 Hussein Mustafa</w:t>
      </w:r>
      <w:r w:rsidRPr="00130C79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130C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Pr="006D2C56">
        <w:rPr>
          <w:rFonts w:asciiTheme="majorBidi" w:hAnsiTheme="majorBidi" w:cstheme="majorBidi"/>
          <w:b/>
          <w:bCs/>
          <w:sz w:val="28"/>
          <w:szCs w:val="28"/>
        </w:rPr>
        <w:t>Fadi</w:t>
      </w:r>
      <w:proofErr w:type="spellEnd"/>
      <w:proofErr w:type="gramEnd"/>
      <w:r w:rsidRPr="006D2C56">
        <w:rPr>
          <w:rFonts w:asciiTheme="majorBidi" w:hAnsiTheme="majorBidi" w:cstheme="majorBidi"/>
          <w:b/>
          <w:bCs/>
          <w:sz w:val="28"/>
          <w:szCs w:val="28"/>
        </w:rPr>
        <w:t xml:space="preserve"> Bala'awi</w:t>
      </w:r>
      <w:r w:rsidRPr="006D2C5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Pr="00130C79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130C79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Ramzi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 Al Rousan</w:t>
      </w:r>
      <w:r w:rsidRPr="00130C79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130C79">
        <w:rPr>
          <w:rFonts w:asciiTheme="majorBidi" w:hAnsiTheme="majorBidi" w:cstheme="majorBidi"/>
          <w:sz w:val="28"/>
          <w:szCs w:val="28"/>
        </w:rPr>
        <w:t xml:space="preserve">, 2018: </w:t>
      </w:r>
      <w:r w:rsidRPr="00130C79">
        <w:rPr>
          <w:rFonts w:asciiTheme="majorBidi" w:hAnsiTheme="majorBidi" w:cstheme="majorBidi"/>
          <w:i/>
          <w:iCs/>
          <w:sz w:val="28"/>
          <w:szCs w:val="28"/>
        </w:rPr>
        <w:t>MEDUSA IN NABATAEAN, HATRAN AND PALMYRENE CULTURES</w:t>
      </w:r>
      <w:r w:rsidRPr="00130C79">
        <w:rPr>
          <w:rFonts w:asciiTheme="majorBidi" w:hAnsiTheme="majorBidi" w:cstheme="majorBidi"/>
          <w:sz w:val="28"/>
          <w:szCs w:val="28"/>
        </w:rPr>
        <w:t xml:space="preserve">. Mediterranean Archaeology and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Archaeometry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>, Vol. 18, No 3, (2018), pp. 89-102.</w:t>
      </w:r>
    </w:p>
    <w:p w:rsidR="007F5A48" w:rsidRPr="00130C79" w:rsidRDefault="007F5A48" w:rsidP="007F5A48">
      <w:pPr>
        <w:numPr>
          <w:ilvl w:val="0"/>
          <w:numId w:val="8"/>
        </w:numPr>
        <w:bidi w:val="0"/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30C79">
        <w:rPr>
          <w:rFonts w:asciiTheme="majorBidi" w:hAnsiTheme="majorBidi" w:cstheme="majorBidi"/>
          <w:b/>
          <w:bCs/>
          <w:sz w:val="28"/>
          <w:szCs w:val="28"/>
          <w:lang w:val="en-GB"/>
        </w:rPr>
        <w:t>Fadi</w:t>
      </w:r>
      <w:proofErr w:type="spellEnd"/>
      <w:r w:rsidRPr="00130C7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130C79">
        <w:rPr>
          <w:rFonts w:asciiTheme="majorBidi" w:hAnsiTheme="majorBidi" w:cstheme="majorBidi"/>
          <w:b/>
          <w:bCs/>
          <w:sz w:val="28"/>
          <w:szCs w:val="28"/>
          <w:lang w:val="en-GB"/>
        </w:rPr>
        <w:t>Bala'awi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, </w:t>
      </w:r>
      <w:proofErr w:type="spellStart"/>
      <w:r w:rsidRPr="00130C79">
        <w:rPr>
          <w:rFonts w:asciiTheme="majorBidi" w:hAnsiTheme="majorBidi" w:cstheme="majorBidi"/>
          <w:sz w:val="28"/>
          <w:szCs w:val="28"/>
          <w:lang w:val="en-GB"/>
        </w:rPr>
        <w:t>Yahya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proofErr w:type="gramStart"/>
      <w:r w:rsidRPr="00130C79">
        <w:rPr>
          <w:rFonts w:asciiTheme="majorBidi" w:hAnsiTheme="majorBidi" w:cstheme="majorBidi"/>
          <w:sz w:val="28"/>
          <w:szCs w:val="28"/>
          <w:lang w:val="en-GB"/>
        </w:rPr>
        <w:t>Alshawabkeh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,</w:t>
      </w:r>
      <w:proofErr w:type="gram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130C79">
        <w:rPr>
          <w:rFonts w:asciiTheme="majorBidi" w:hAnsiTheme="majorBidi" w:cstheme="majorBidi"/>
          <w:sz w:val="28"/>
          <w:szCs w:val="28"/>
          <w:lang w:val="en-GB"/>
        </w:rPr>
        <w:t>Eyad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Al </w:t>
      </w:r>
      <w:proofErr w:type="spellStart"/>
      <w:r w:rsidRPr="00130C79">
        <w:rPr>
          <w:rFonts w:asciiTheme="majorBidi" w:hAnsiTheme="majorBidi" w:cstheme="majorBidi"/>
          <w:sz w:val="28"/>
          <w:szCs w:val="28"/>
          <w:lang w:val="en-GB"/>
        </w:rPr>
        <w:t>masri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and </w:t>
      </w:r>
      <w:proofErr w:type="spellStart"/>
      <w:r w:rsidRPr="00130C79">
        <w:rPr>
          <w:rFonts w:asciiTheme="majorBidi" w:hAnsiTheme="majorBidi" w:cstheme="majorBidi"/>
          <w:sz w:val="28"/>
          <w:szCs w:val="28"/>
          <w:lang w:val="en-GB"/>
        </w:rPr>
        <w:t>Mairna</w:t>
      </w:r>
      <w:proofErr w:type="spellEnd"/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 H. Mustafa,  2018.  SALT DAMAGE AND ENVIRONMENTAL CONDITIONS: A THERMODYNAMIC APPROACH FROM THE NORTHERN ROMAN THEATER IN JERASH, JORDAN. </w:t>
      </w:r>
      <w:r w:rsidRPr="00130C79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Mediterranean Archaeology &amp; </w:t>
      </w:r>
      <w:proofErr w:type="spellStart"/>
      <w:r w:rsidRPr="00130C79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Archaeometry</w:t>
      </w:r>
      <w:proofErr w:type="spellEnd"/>
      <w:r w:rsidRPr="00130C79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 xml:space="preserve"> Journal (MAA)</w:t>
      </w:r>
      <w:r w:rsidRPr="00130C79">
        <w:rPr>
          <w:rFonts w:asciiTheme="majorBidi" w:hAnsiTheme="majorBidi" w:cstheme="majorBidi"/>
          <w:sz w:val="28"/>
          <w:szCs w:val="28"/>
          <w:lang w:val="en-GB"/>
        </w:rPr>
        <w:t xml:space="preserve">. Vol. 18, No. 2, pp.49-66. </w:t>
      </w:r>
    </w:p>
    <w:p w:rsidR="007F5A48" w:rsidRDefault="007F5A48" w:rsidP="007F5A48">
      <w:pPr>
        <w:pStyle w:val="ListParagraph"/>
        <w:numPr>
          <w:ilvl w:val="0"/>
          <w:numId w:val="8"/>
        </w:numPr>
        <w:bidi w:val="0"/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30C79">
        <w:rPr>
          <w:rFonts w:asciiTheme="majorBidi" w:hAnsiTheme="majorBidi" w:cstheme="majorBidi"/>
          <w:sz w:val="28"/>
          <w:szCs w:val="28"/>
        </w:rPr>
        <w:t xml:space="preserve">Marta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Tenconi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*,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Ioannis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Karatasios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30C79">
        <w:rPr>
          <w:rFonts w:asciiTheme="majorBidi" w:hAnsiTheme="majorBidi" w:cstheme="majorBidi"/>
          <w:b/>
          <w:bCs/>
          <w:sz w:val="28"/>
          <w:szCs w:val="28"/>
        </w:rPr>
        <w:t>Fadi</w:t>
      </w:r>
      <w:proofErr w:type="spellEnd"/>
      <w:r w:rsidRPr="00130C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130C79">
        <w:rPr>
          <w:rFonts w:asciiTheme="majorBidi" w:hAnsiTheme="majorBidi" w:cstheme="majorBidi"/>
          <w:b/>
          <w:bCs/>
          <w:sz w:val="28"/>
          <w:szCs w:val="28"/>
        </w:rPr>
        <w:t>Bala’awi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30C79">
        <w:rPr>
          <w:rFonts w:asciiTheme="majorBidi" w:hAnsiTheme="majorBidi" w:cstheme="majorBidi"/>
          <w:sz w:val="28"/>
          <w:szCs w:val="28"/>
        </w:rPr>
        <w:t xml:space="preserve">and 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Vassilis</w:t>
      </w:r>
      <w:proofErr w:type="spellEnd"/>
      <w:proofErr w:type="gramEnd"/>
      <w:r w:rsidRPr="00130C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30C79">
        <w:rPr>
          <w:rFonts w:asciiTheme="majorBidi" w:hAnsiTheme="majorBidi" w:cstheme="majorBidi"/>
          <w:sz w:val="28"/>
          <w:szCs w:val="28"/>
        </w:rPr>
        <w:t>Kilikoglou</w:t>
      </w:r>
      <w:proofErr w:type="spellEnd"/>
      <w:r w:rsidRPr="00130C79">
        <w:rPr>
          <w:rFonts w:asciiTheme="majorBidi" w:hAnsiTheme="majorBidi" w:cstheme="majorBidi"/>
          <w:sz w:val="28"/>
          <w:szCs w:val="28"/>
        </w:rPr>
        <w:t xml:space="preserve">, 2018. </w:t>
      </w:r>
      <w:r w:rsidRPr="00130C79">
        <w:rPr>
          <w:rFonts w:asciiTheme="majorBidi" w:hAnsiTheme="majorBidi" w:cstheme="majorBidi"/>
          <w:bCs/>
          <w:sz w:val="28"/>
          <w:szCs w:val="28"/>
          <w:lang w:val="en-GB"/>
        </w:rPr>
        <w:t>TECHNOLOGICAL AND MICROSTRUCTURAL CHARACTERIZATION OF MORTARS AND PLASTERS FROM THE ROMAN SITE OF QASR AZRAQ, IN JORDAN</w:t>
      </w:r>
      <w:r w:rsidRPr="00130C79">
        <w:rPr>
          <w:rFonts w:asciiTheme="majorBidi" w:hAnsiTheme="majorBidi" w:cstheme="majorBidi"/>
          <w:b/>
          <w:sz w:val="28"/>
          <w:szCs w:val="28"/>
          <w:lang w:val="en-GB"/>
        </w:rPr>
        <w:t>.</w:t>
      </w:r>
      <w:r w:rsidRPr="00130C79">
        <w:rPr>
          <w:rFonts w:asciiTheme="majorBidi" w:hAnsiTheme="majorBidi" w:cstheme="majorBidi"/>
          <w:sz w:val="28"/>
          <w:szCs w:val="28"/>
        </w:rPr>
        <w:t xml:space="preserve"> Journal of Cultural Heritage</w:t>
      </w:r>
      <w:r>
        <w:rPr>
          <w:rFonts w:asciiTheme="majorBidi" w:hAnsiTheme="majorBidi" w:cstheme="majorBidi"/>
          <w:bCs/>
          <w:sz w:val="28"/>
          <w:szCs w:val="28"/>
          <w:lang w:val="en-GB"/>
        </w:rPr>
        <w:t>,</w:t>
      </w:r>
      <w:r w:rsidRPr="00130C79">
        <w:rPr>
          <w:rFonts w:asciiTheme="majorBidi" w:hAnsiTheme="majorBidi" w:cstheme="majorBidi"/>
          <w:bCs/>
          <w:sz w:val="28"/>
          <w:szCs w:val="28"/>
          <w:lang w:val="en-GB"/>
        </w:rPr>
        <w:t xml:space="preserve"> </w:t>
      </w:r>
      <w:proofErr w:type="spellStart"/>
      <w:r w:rsidRPr="00130C79">
        <w:rPr>
          <w:rFonts w:asciiTheme="majorBidi" w:hAnsiTheme="majorBidi" w:cstheme="majorBidi"/>
          <w:bCs/>
          <w:sz w:val="28"/>
          <w:szCs w:val="28"/>
          <w:lang w:val="en-GB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2C56">
        <w:rPr>
          <w:rFonts w:asciiTheme="majorBidi" w:hAnsiTheme="majorBidi" w:cstheme="majorBidi"/>
          <w:sz w:val="28"/>
          <w:szCs w:val="28"/>
        </w:rPr>
        <w:t>33 (2018) 100–116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F5A48" w:rsidRDefault="007F5A48" w:rsidP="007F5A48">
      <w:pPr>
        <w:pStyle w:val="ListParagraph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F5A48" w:rsidRDefault="007F5A48" w:rsidP="007F5A48">
      <w:pPr>
        <w:pStyle w:val="ListParagraph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7F5A48" w:rsidRPr="00940042" w:rsidRDefault="007F5A48" w:rsidP="007F5A48">
      <w:pPr>
        <w:pStyle w:val="ListParagraph"/>
        <w:ind w:left="142"/>
        <w:rPr>
          <w:rFonts w:asciiTheme="majorBidi" w:hAnsiTheme="majorBidi" w:cstheme="majorBidi"/>
          <w:sz w:val="28"/>
          <w:szCs w:val="28"/>
          <w:lang w:bidi="ar-JO"/>
        </w:rPr>
      </w:pPr>
    </w:p>
    <w:p w:rsidR="007F5A48" w:rsidRPr="00940042" w:rsidRDefault="007F5A48" w:rsidP="007F5A48">
      <w:pPr>
        <w:pStyle w:val="ListParagraph"/>
        <w:numPr>
          <w:ilvl w:val="0"/>
          <w:numId w:val="1"/>
        </w:numPr>
        <w:ind w:left="142" w:firstLine="0"/>
        <w:rPr>
          <w:rFonts w:asciiTheme="majorBidi" w:hAnsiTheme="majorBidi" w:cstheme="majorBidi"/>
          <w:sz w:val="28"/>
          <w:szCs w:val="28"/>
          <w:lang w:bidi="ar-JO"/>
        </w:rPr>
      </w:pPr>
      <w:r w:rsidRPr="00940042">
        <w:rPr>
          <w:rFonts w:ascii="Simplified Arabic" w:hAnsi="Simplified Arabic" w:cs="Simplified Arabic" w:hint="cs"/>
          <w:sz w:val="28"/>
          <w:szCs w:val="28"/>
          <w:rtl/>
        </w:rPr>
        <w:t xml:space="preserve">الاستاذ </w:t>
      </w:r>
      <w:r w:rsidRPr="00940042">
        <w:rPr>
          <w:rFonts w:ascii="Simplified Arabic" w:hAnsi="Simplified Arabic" w:cs="Simplified Arabic"/>
          <w:sz w:val="28"/>
          <w:szCs w:val="28"/>
          <w:rtl/>
        </w:rPr>
        <w:t>الدكتور مهدي الزعبي</w:t>
      </w:r>
      <w:r w:rsidRPr="00940042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: فسم ادارة الموارد التراثية </w:t>
      </w:r>
    </w:p>
    <w:p w:rsidR="007F5A48" w:rsidRPr="00940042" w:rsidRDefault="007F5A48" w:rsidP="007F5A48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- Prof. Dr. Sultan Al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Maani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 &amp; Prof. Dr. Mahdi 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Zuobi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ADUMATO. </w:t>
      </w: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New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Safaitic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inscriptions from al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cAwshaji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al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Janoubi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-Northeastern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Bādyia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of  Jordan</w:t>
      </w:r>
      <w:proofErr w:type="gramEnd"/>
    </w:p>
    <w:p w:rsidR="007F5A48" w:rsidRPr="00940042" w:rsidRDefault="007F5A48" w:rsidP="007F5A48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   Prof. Dr. Sultan Al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Maani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 &amp; Prof. Dr. Mahdi 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Zuobi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>, ADUMATO</w:t>
      </w:r>
    </w:p>
    <w:p w:rsidR="007F5A48" w:rsidRPr="00940042" w:rsidRDefault="007F5A48" w:rsidP="007F5A48">
      <w:pPr>
        <w:bidi w:val="0"/>
        <w:ind w:left="142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rtl/>
        </w:rPr>
        <w:t>كتاب: نقوش عربية قديمة من بادية المفرق، منشورات وزارة الثقافة</w:t>
      </w:r>
      <w:r w:rsidRPr="00940042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- </w:t>
      </w:r>
    </w:p>
    <w:p w:rsidR="007F5A48" w:rsidRPr="00940042" w:rsidRDefault="007F5A48" w:rsidP="007F5A48">
      <w:pPr>
        <w:pStyle w:val="ListParagraph"/>
        <w:numPr>
          <w:ilvl w:val="0"/>
          <w:numId w:val="4"/>
        </w:numPr>
        <w:bidi w:val="0"/>
        <w:ind w:left="142" w:firstLine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Some New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Safaitic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Inscriptions from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Dhuweila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–Jordan</w:t>
      </w:r>
    </w:p>
    <w:p w:rsidR="007F5A48" w:rsidRPr="00940042" w:rsidRDefault="007F5A48" w:rsidP="007F5A48">
      <w:pPr>
        <w:bidi w:val="0"/>
        <w:ind w:left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940042">
        <w:rPr>
          <w:rFonts w:asciiTheme="majorBidi" w:hAnsiTheme="majorBidi" w:cstheme="majorBidi"/>
          <w:sz w:val="28"/>
          <w:szCs w:val="28"/>
        </w:rPr>
        <w:t xml:space="preserve">Dr. Mahdi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Alzoubi&amp;Prof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. Sultan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Maani</w:t>
      </w:r>
      <w:proofErr w:type="spellEnd"/>
    </w:p>
    <w:p w:rsidR="007F5A48" w:rsidRPr="00940042" w:rsidRDefault="007F5A48" w:rsidP="007F5A48">
      <w:pPr>
        <w:pStyle w:val="ListParagraph"/>
        <w:numPr>
          <w:ilvl w:val="0"/>
          <w:numId w:val="6"/>
        </w:numPr>
        <w:spacing w:line="360" w:lineRule="auto"/>
        <w:ind w:left="84" w:firstLine="148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0042">
        <w:rPr>
          <w:rFonts w:ascii="Simplified Arabic" w:hAnsi="Simplified Arabic" w:cs="Simplified Arabic"/>
          <w:sz w:val="28"/>
          <w:szCs w:val="28"/>
          <w:rtl/>
        </w:rPr>
        <w:t xml:space="preserve">الدكتور </w:t>
      </w:r>
      <w:r w:rsidRPr="00940042">
        <w:rPr>
          <w:rFonts w:ascii="Simplified Arabic" w:hAnsi="Simplified Arabic" w:cs="Simplified Arabic" w:hint="cs"/>
          <w:sz w:val="28"/>
          <w:szCs w:val="28"/>
          <w:rtl/>
        </w:rPr>
        <w:t>اياد المصري</w:t>
      </w:r>
      <w:r w:rsidRPr="00940042">
        <w:rPr>
          <w:rFonts w:ascii="Simplified Arabic" w:hAnsi="Simplified Arabic" w:cs="Simplified Arabic"/>
          <w:sz w:val="28"/>
          <w:szCs w:val="28"/>
          <w:rtl/>
        </w:rPr>
        <w:t>/ قسم السياحة المستدامة</w:t>
      </w:r>
    </w:p>
    <w:p w:rsidR="007F5A48" w:rsidRPr="00940042" w:rsidRDefault="007F5A48" w:rsidP="007F5A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40042">
        <w:rPr>
          <w:rFonts w:asciiTheme="majorBidi" w:hAnsiTheme="majorBidi" w:cstheme="majorBidi"/>
          <w:sz w:val="28"/>
          <w:szCs w:val="28"/>
        </w:rPr>
        <w:t>Almasri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E.,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Alshawabkeh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Y.,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Balaawi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F.,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Shwater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(2017) </w:t>
      </w:r>
    </w:p>
    <w:p w:rsidR="007F5A48" w:rsidRPr="00940042" w:rsidRDefault="007F5A48" w:rsidP="007F5A48">
      <w:pPr>
        <w:pStyle w:val="ListParagraph"/>
        <w:numPr>
          <w:ilvl w:val="0"/>
          <w:numId w:val="3"/>
        </w:numPr>
        <w:bidi w:val="0"/>
        <w:ind w:right="-766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 Enthroned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Tyche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Statue from Gadara/ Umm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Qais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, Jordan.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Acta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Historiae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Artium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Academiae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Scientiarum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Hungaricae</w:t>
      </w:r>
      <w:proofErr w:type="spellEnd"/>
      <w:r w:rsidRPr="00940042">
        <w:rPr>
          <w:rFonts w:asciiTheme="majorBidi" w:hAnsiTheme="majorBidi" w:cstheme="majorBidi"/>
          <w:b/>
          <w:bCs/>
          <w:sz w:val="28"/>
          <w:szCs w:val="28"/>
          <w:u w:val="single"/>
        </w:rPr>
        <w:t>, Vol. (58), pp. 6-20|.</w:t>
      </w:r>
    </w:p>
    <w:p w:rsidR="007F5A48" w:rsidRPr="00940042" w:rsidRDefault="007F5A48" w:rsidP="007F5A48">
      <w:pPr>
        <w:pStyle w:val="ListParagraph"/>
        <w:spacing w:line="360" w:lineRule="auto"/>
        <w:ind w:left="144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7F5A48" w:rsidRPr="00940042" w:rsidRDefault="007F5A48" w:rsidP="007F5A48">
      <w:pPr>
        <w:pStyle w:val="ListParagraph"/>
        <w:numPr>
          <w:ilvl w:val="0"/>
          <w:numId w:val="1"/>
        </w:numPr>
        <w:spacing w:line="360" w:lineRule="auto"/>
        <w:ind w:left="90" w:hanging="425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0042">
        <w:rPr>
          <w:rFonts w:ascii="Simplified Arabic" w:hAnsi="Simplified Arabic" w:cs="Simplified Arabic"/>
          <w:sz w:val="28"/>
          <w:szCs w:val="28"/>
          <w:rtl/>
        </w:rPr>
        <w:t xml:space="preserve">الدكتور </w:t>
      </w:r>
      <w:r w:rsidRPr="0094004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حسين القدره</w:t>
      </w:r>
      <w:r w:rsidRPr="00940042">
        <w:rPr>
          <w:rFonts w:ascii="Simplified Arabic" w:hAnsi="Simplified Arabic" w:cs="Simplified Arabic"/>
          <w:sz w:val="28"/>
          <w:szCs w:val="28"/>
          <w:rtl/>
        </w:rPr>
        <w:t>/ قسم السياحة المستدامة</w:t>
      </w:r>
    </w:p>
    <w:p w:rsidR="007F5A48" w:rsidRPr="00940042" w:rsidRDefault="007F5A48" w:rsidP="007F5A48">
      <w:pPr>
        <w:tabs>
          <w:tab w:val="left" w:pos="93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F5A48" w:rsidRPr="00940042" w:rsidRDefault="007F5A48" w:rsidP="007F5A48">
      <w:pPr>
        <w:pStyle w:val="ListParagraph"/>
        <w:numPr>
          <w:ilvl w:val="0"/>
          <w:numId w:val="2"/>
        </w:numPr>
        <w:tabs>
          <w:tab w:val="left" w:pos="930"/>
        </w:tabs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Qudrah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H. (2017),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Slʿ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as a Coinage Term in the South Semitic and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Nabataean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Inscriptions. "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Acta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Orientalia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Academiae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Scientiarum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Hungaricae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>", vol. 70 (4), pp. 491-502. Hungary.</w:t>
      </w:r>
    </w:p>
    <w:p w:rsidR="007F5A48" w:rsidRPr="00940042" w:rsidRDefault="007F5A48" w:rsidP="007F5A48">
      <w:pPr>
        <w:tabs>
          <w:tab w:val="left" w:pos="93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F5A48" w:rsidRPr="00940042" w:rsidRDefault="007F5A48" w:rsidP="007F5A48">
      <w:pPr>
        <w:pStyle w:val="ListParagraph"/>
        <w:numPr>
          <w:ilvl w:val="0"/>
          <w:numId w:val="2"/>
        </w:numPr>
        <w:tabs>
          <w:tab w:val="left" w:pos="930"/>
        </w:tabs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40042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Qudrah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H.,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Sadaqah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I. and </w:t>
      </w:r>
      <w:proofErr w:type="spellStart"/>
      <w:r w:rsidRPr="00940042">
        <w:rPr>
          <w:rFonts w:asciiTheme="majorBidi" w:hAnsiTheme="majorBidi" w:cstheme="majorBidi"/>
          <w:sz w:val="28"/>
          <w:szCs w:val="28"/>
        </w:rPr>
        <w:t>Ajlouni</w:t>
      </w:r>
      <w:proofErr w:type="spellEnd"/>
      <w:r w:rsidRPr="00940042">
        <w:rPr>
          <w:rFonts w:asciiTheme="majorBidi" w:hAnsiTheme="majorBidi" w:cstheme="majorBidi"/>
          <w:sz w:val="28"/>
          <w:szCs w:val="28"/>
        </w:rPr>
        <w:t xml:space="preserve">, F. (2017). </w:t>
      </w:r>
      <w:r w:rsidRPr="00940042">
        <w:rPr>
          <w:rFonts w:asciiTheme="majorBidi" w:hAnsiTheme="majorBidi" w:cstheme="majorBidi"/>
          <w:sz w:val="28"/>
          <w:szCs w:val="28"/>
          <w:u w:val="single"/>
        </w:rPr>
        <w:t>A Study of the Monetary Word "BLṬT" in Old South Arabian Inscriptions in the Light of Akkadian and Assyrian Economic Documents. Accepted in the Journal of "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Acta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Orientalia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Academiae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Scientiarum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40042">
        <w:rPr>
          <w:rFonts w:asciiTheme="majorBidi" w:hAnsiTheme="majorBidi" w:cstheme="majorBidi"/>
          <w:sz w:val="28"/>
          <w:szCs w:val="28"/>
          <w:u w:val="single"/>
        </w:rPr>
        <w:t>Hungaricae</w:t>
      </w:r>
      <w:proofErr w:type="spellEnd"/>
      <w:r w:rsidRPr="00940042">
        <w:rPr>
          <w:rFonts w:asciiTheme="majorBidi" w:hAnsiTheme="majorBidi" w:cstheme="majorBidi"/>
          <w:sz w:val="28"/>
          <w:szCs w:val="28"/>
          <w:u w:val="single"/>
        </w:rPr>
        <w:t>", Vol. 71. Hungary.</w:t>
      </w:r>
    </w:p>
    <w:p w:rsidR="007F5A48" w:rsidRPr="00D1137F" w:rsidRDefault="007F5A48" w:rsidP="007F5A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58" w:line="360" w:lineRule="auto"/>
        <w:ind w:left="232" w:right="454" w:hanging="284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11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الاستاذ الدكتور</w:t>
      </w:r>
      <w:r w:rsidRPr="00D1137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محمد وهيب</w:t>
      </w:r>
    </w:p>
    <w:p w:rsidR="007F5A48" w:rsidRPr="00FB78F3" w:rsidRDefault="007F5A48" w:rsidP="007F5A48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204"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</w:pPr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The Discovery of Jesus Cave in Iraq Al-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Amir ,</w:t>
      </w:r>
      <w:proofErr w:type="gramEnd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 Southern Levant-Jordan</w:t>
      </w:r>
      <w:r w:rsidRPr="00940042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. </w:t>
      </w:r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Accepted to publish in Journal for the Study of the Historical Jesus. 2017. </w:t>
      </w:r>
    </w:p>
    <w:p w:rsidR="007F5A48" w:rsidRPr="00940042" w:rsidRDefault="007F5A48" w:rsidP="007F5A48">
      <w:pPr>
        <w:pStyle w:val="ListParagraph"/>
        <w:autoSpaceDE w:val="0"/>
        <w:autoSpaceDN w:val="0"/>
        <w:bidi w:val="0"/>
        <w:adjustRightInd w:val="0"/>
        <w:spacing w:after="204"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</w:pPr>
    </w:p>
    <w:p w:rsidR="007F5A48" w:rsidRDefault="007F5A48" w:rsidP="007F5A48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</w:pPr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The Discovery of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  </w:t>
      </w:r>
      <w:proofErr w:type="spellStart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Aenon</w:t>
      </w:r>
      <w:proofErr w:type="spellEnd"/>
      <w:proofErr w:type="gramEnd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 Near to </w:t>
      </w:r>
      <w:proofErr w:type="spellStart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Saleem</w:t>
      </w:r>
      <w:proofErr w:type="spellEnd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. Accepted to 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>publish  in</w:t>
      </w:r>
      <w:proofErr w:type="gramEnd"/>
      <w:r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  <w:t xml:space="preserve"> Classical World. 2017.</w:t>
      </w:r>
    </w:p>
    <w:p w:rsidR="007F5A48" w:rsidRPr="00940042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u w:val="single"/>
          <w:lang w:bidi="ar-JO"/>
        </w:rPr>
      </w:pPr>
    </w:p>
    <w:p w:rsidR="007F5A48" w:rsidRDefault="007F5A48" w:rsidP="007F5A48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lastRenderedPageBreak/>
        <w:t xml:space="preserve">A Unique 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Byzantine  Architectural</w:t>
      </w:r>
      <w:proofErr w:type="gramEnd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 Remains on The Eastern Bank of Jordan River. Accepted to publish in American International Journal of Contemporary Research (AIJCR). 2017.</w:t>
      </w:r>
    </w:p>
    <w:p w:rsidR="007F5A48" w:rsidRPr="00940042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numPr>
          <w:ilvl w:val="0"/>
          <w:numId w:val="5"/>
        </w:numPr>
        <w:tabs>
          <w:tab w:val="right" w:pos="2610"/>
        </w:tabs>
        <w:autoSpaceDE w:val="0"/>
        <w:autoSpaceDN w:val="0"/>
        <w:bidi w:val="0"/>
        <w:adjustRightInd w:val="0"/>
        <w:spacing w:after="204" w:line="360" w:lineRule="auto"/>
        <w:ind w:right="142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The Discovery of </w:t>
      </w:r>
      <w:proofErr w:type="spellStart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Gharaba</w:t>
      </w:r>
      <w:proofErr w:type="spellEnd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 A Byzantine Caravanserai, Near Site of Jesus Baptism Jordan- River. Accepted to publish 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in  International</w:t>
      </w:r>
      <w:proofErr w:type="gramEnd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 Journal of Oriental and Mediterranean Studies. 2017.</w:t>
      </w:r>
    </w:p>
    <w:p w:rsidR="007F5A48" w:rsidRPr="00940042" w:rsidRDefault="007F5A48" w:rsidP="007F5A48">
      <w:pPr>
        <w:pStyle w:val="ListParagraph"/>
        <w:tabs>
          <w:tab w:val="right" w:pos="2610"/>
        </w:tabs>
        <w:autoSpaceDE w:val="0"/>
        <w:autoSpaceDN w:val="0"/>
        <w:bidi w:val="0"/>
        <w:adjustRightInd w:val="0"/>
        <w:spacing w:after="204" w:line="360" w:lineRule="auto"/>
        <w:ind w:right="142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The Holy Triangular Along the Christian Pilgrims Road, East </w:t>
      </w:r>
      <w:proofErr w:type="gramStart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of  Jordan</w:t>
      </w:r>
      <w:proofErr w:type="gramEnd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 River ( Baptism Site, </w:t>
      </w:r>
      <w:proofErr w:type="spellStart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Aenon</w:t>
      </w:r>
      <w:proofErr w:type="spellEnd"/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 xml:space="preserve"> Near</w:t>
      </w:r>
      <w:r w:rsidRPr="00940042">
        <w:rPr>
          <w:rFonts w:asciiTheme="majorBidi" w:hAnsiTheme="majorBidi" w:cstheme="majorBidi"/>
          <w:sz w:val="28"/>
          <w:szCs w:val="28"/>
          <w:lang w:bidi="ar-JO"/>
        </w:rPr>
        <w:t xml:space="preserve"> to </w:t>
      </w:r>
      <w:proofErr w:type="spellStart"/>
      <w:r w:rsidRPr="00940042">
        <w:rPr>
          <w:rFonts w:asciiTheme="majorBidi" w:hAnsiTheme="majorBidi" w:cstheme="majorBidi"/>
          <w:sz w:val="28"/>
          <w:szCs w:val="28"/>
          <w:lang w:bidi="ar-JO"/>
        </w:rPr>
        <w:t>Saleem</w:t>
      </w:r>
      <w:proofErr w:type="spellEnd"/>
      <w:r w:rsidRPr="00940042">
        <w:rPr>
          <w:rFonts w:asciiTheme="majorBidi" w:hAnsiTheme="majorBidi" w:cstheme="majorBidi"/>
          <w:sz w:val="28"/>
          <w:szCs w:val="28"/>
          <w:lang w:bidi="ar-JO"/>
        </w:rPr>
        <w:t xml:space="preserve">, and </w:t>
      </w:r>
      <w:proofErr w:type="spellStart"/>
      <w:r w:rsidRPr="00940042">
        <w:rPr>
          <w:rFonts w:asciiTheme="majorBidi" w:hAnsiTheme="majorBidi" w:cstheme="majorBidi"/>
          <w:sz w:val="28"/>
          <w:szCs w:val="28"/>
          <w:lang w:bidi="ar-JO"/>
        </w:rPr>
        <w:t>Tyrue</w:t>
      </w:r>
      <w:proofErr w:type="spellEnd"/>
      <w:r w:rsidRPr="00940042">
        <w:rPr>
          <w:rFonts w:asciiTheme="majorBidi" w:hAnsiTheme="majorBidi" w:cstheme="majorBidi"/>
          <w:sz w:val="28"/>
          <w:szCs w:val="28"/>
          <w:lang w:bidi="ar-JO"/>
        </w:rPr>
        <w:t xml:space="preserve"> Cave)</w:t>
      </w:r>
      <w:r w:rsidRPr="00940042">
        <w:rPr>
          <w:rFonts w:asciiTheme="majorBidi" w:hAnsiTheme="majorBidi" w:cstheme="majorBidi"/>
          <w:sz w:val="28"/>
          <w:szCs w:val="28"/>
          <w:highlight w:val="white"/>
          <w:lang w:bidi="ar-JO"/>
        </w:rPr>
        <w:t>. Accepted to publish in Copenhagen Journal of Asian Studies. 2017.</w:t>
      </w: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p w:rsidR="007F5A48" w:rsidRPr="00940042" w:rsidRDefault="007F5A48" w:rsidP="007F5A48">
      <w:pPr>
        <w:pStyle w:val="ListParagraph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white"/>
          <w:lang w:bidi="ar-JO"/>
        </w:rPr>
      </w:pPr>
    </w:p>
    <w:tbl>
      <w:tblPr>
        <w:tblW w:w="10996" w:type="dxa"/>
        <w:tblInd w:w="-1202" w:type="dxa"/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230"/>
        <w:gridCol w:w="2184"/>
        <w:gridCol w:w="138"/>
        <w:gridCol w:w="1075"/>
        <w:gridCol w:w="829"/>
        <w:gridCol w:w="194"/>
        <w:gridCol w:w="325"/>
        <w:gridCol w:w="729"/>
        <w:gridCol w:w="1882"/>
        <w:gridCol w:w="1838"/>
        <w:gridCol w:w="668"/>
        <w:gridCol w:w="904"/>
      </w:tblGrid>
      <w:tr w:rsidR="007F5A48" w:rsidRPr="00940042" w:rsidTr="00A375D5">
        <w:trPr>
          <w:gridBefore w:val="1"/>
          <w:wBefore w:w="230" w:type="dxa"/>
          <w:trHeight w:val="702"/>
        </w:trPr>
        <w:tc>
          <w:tcPr>
            <w:tcW w:w="2184" w:type="dxa"/>
            <w:shd w:val="clear" w:color="000000" w:fill="FFFFFF"/>
          </w:tcPr>
          <w:p w:rsidR="007F5A48" w:rsidRPr="00940042" w:rsidRDefault="007F5A48" w:rsidP="00A375D5">
            <w:pPr>
              <w:tabs>
                <w:tab w:val="left" w:pos="655"/>
              </w:tabs>
              <w:autoSpaceDE w:val="0"/>
              <w:autoSpaceDN w:val="0"/>
              <w:adjustRightInd w:val="0"/>
              <w:spacing w:line="240" w:lineRule="auto"/>
              <w:ind w:right="51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042" w:type="dxa"/>
            <w:gridSpan w:val="3"/>
            <w:shd w:val="clear" w:color="000000" w:fill="FFFFFF"/>
          </w:tcPr>
          <w:p w:rsidR="007F5A48" w:rsidRPr="00940042" w:rsidRDefault="007F5A48" w:rsidP="00A375D5">
            <w:pPr>
              <w:tabs>
                <w:tab w:val="left" w:pos="655"/>
              </w:tabs>
              <w:autoSpaceDE w:val="0"/>
              <w:autoSpaceDN w:val="0"/>
              <w:adjustRightInd w:val="0"/>
              <w:spacing w:line="240" w:lineRule="auto"/>
              <w:ind w:right="51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94" w:type="dxa"/>
            <w:shd w:val="clear" w:color="000000" w:fill="FFFFFF"/>
          </w:tcPr>
          <w:p w:rsidR="007F5A48" w:rsidRPr="00940042" w:rsidRDefault="007F5A48" w:rsidP="00A375D5">
            <w:pPr>
              <w:tabs>
                <w:tab w:val="left" w:pos="655"/>
              </w:tabs>
              <w:autoSpaceDE w:val="0"/>
              <w:autoSpaceDN w:val="0"/>
              <w:adjustRightInd w:val="0"/>
              <w:spacing w:line="240" w:lineRule="auto"/>
              <w:ind w:left="741" w:right="517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</w:tc>
        <w:tc>
          <w:tcPr>
            <w:tcW w:w="6346" w:type="dxa"/>
            <w:gridSpan w:val="6"/>
            <w:shd w:val="clear" w:color="000000" w:fill="FFFFFF"/>
          </w:tcPr>
          <w:p w:rsidR="007F5A48" w:rsidRPr="00940042" w:rsidRDefault="007F5A48" w:rsidP="00A375D5">
            <w:pPr>
              <w:tabs>
                <w:tab w:val="left" w:pos="655"/>
              </w:tabs>
              <w:autoSpaceDE w:val="0"/>
              <w:autoSpaceDN w:val="0"/>
              <w:adjustRightInd w:val="0"/>
              <w:spacing w:line="240" w:lineRule="auto"/>
              <w:ind w:left="2215" w:right="517" w:hanging="1297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F5A48" w:rsidRPr="00940042" w:rsidTr="00A375D5">
        <w:tblPrEx>
          <w:tblCellMar>
            <w:left w:w="0" w:type="dxa"/>
            <w:right w:w="0" w:type="dxa"/>
          </w:tblCellMar>
        </w:tblPrEx>
        <w:trPr>
          <w:gridAfter w:val="1"/>
          <w:wAfter w:w="904" w:type="dxa"/>
          <w:trHeight w:val="96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586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دار النشر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left="646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20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left="764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567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اللغة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left="309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18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07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المؤلف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45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عنوان الاصدار/ الكتاب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5"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after="218" w:line="259" w:lineRule="atLeast"/>
              <w:ind w:left="106"/>
              <w:jc w:val="center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/>
                <w:b/>
                <w:bCs/>
                <w:rtl/>
                <w:lang w:bidi="ar-JO"/>
              </w:rPr>
              <w:t>الرقم</w:t>
            </w:r>
          </w:p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</w:p>
        </w:tc>
      </w:tr>
      <w:tr w:rsidR="007F5A48" w:rsidRPr="00940042" w:rsidTr="00A375D5">
        <w:tblPrEx>
          <w:tblCellMar>
            <w:left w:w="0" w:type="dxa"/>
            <w:right w:w="0" w:type="dxa"/>
          </w:tblCellMar>
        </w:tblPrEx>
        <w:trPr>
          <w:gridAfter w:val="1"/>
          <w:wAfter w:w="904" w:type="dxa"/>
          <w:trHeight w:val="10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05" w:right="115" w:firstLine="1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مطبعة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المنظمون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الجدد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/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عمان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91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303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413"/>
              <w:jc w:val="center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العربية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4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8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أ.د. محمد وهيب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547" w:firstLine="1"/>
              <w:jc w:val="center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قبيلة كعب / جعب، دراسة في الاصالة والمعاصرة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69"/>
              <w:jc w:val="center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1</w:t>
            </w:r>
            <w:r w:rsidRPr="0055197F">
              <w:rPr>
                <w:rFonts w:asciiTheme="minorBidi" w:hAnsiTheme="minorBidi"/>
                <w:rtl/>
                <w:lang w:bidi="ar-JO"/>
              </w:rPr>
              <w:t>-</w:t>
            </w:r>
          </w:p>
        </w:tc>
      </w:tr>
      <w:tr w:rsidR="007F5A48" w:rsidRPr="00940042" w:rsidTr="00A375D5">
        <w:tblPrEx>
          <w:tblCellMar>
            <w:left w:w="0" w:type="dxa"/>
            <w:right w:w="0" w:type="dxa"/>
          </w:tblCellMar>
        </w:tblPrEx>
        <w:trPr>
          <w:gridAfter w:val="1"/>
          <w:wAfter w:w="904" w:type="dxa"/>
          <w:trHeight w:val="99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51" w:firstLine="1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lastRenderedPageBreak/>
              <w:t>مطبعة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دار الابرار للنشر والتوزيع / عمان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91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434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42" w:right="209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العربية   الانجليزية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4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8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أ.د. محمد وهيب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" w:right="434" w:hanging="1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اكتشاف أضخم طائر زاحف في العالم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2</w:t>
            </w:r>
            <w:r w:rsidRPr="0055197F">
              <w:rPr>
                <w:rFonts w:asciiTheme="minorBidi" w:hAnsiTheme="minorBidi"/>
                <w:rtl/>
                <w:lang w:bidi="ar-JO"/>
              </w:rPr>
              <w:t>-</w:t>
            </w:r>
          </w:p>
        </w:tc>
      </w:tr>
      <w:tr w:rsidR="007F5A48" w:rsidRPr="00940042" w:rsidTr="00A375D5">
        <w:tblPrEx>
          <w:tblCellMar>
            <w:left w:w="0" w:type="dxa"/>
            <w:right w:w="0" w:type="dxa"/>
          </w:tblCellMar>
        </w:tblPrEx>
        <w:trPr>
          <w:gridAfter w:val="1"/>
          <w:wAfter w:w="904" w:type="dxa"/>
          <w:trHeight w:val="10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44" w:right="29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في المطبعة سيصدرعام 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91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400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42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العربية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79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8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أ.د. محمد وهيب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18"/>
              <w:jc w:val="center"/>
              <w:rPr>
                <w:rFonts w:asciiTheme="minorBidi" w:hAnsiTheme="minorBidi"/>
                <w:lang w:bidi="ar-JO"/>
              </w:rPr>
            </w:pPr>
            <w:r>
              <w:rPr>
                <w:rFonts w:asciiTheme="minorBidi" w:hAnsiTheme="minorBidi"/>
                <w:rtl/>
                <w:lang w:bidi="ar-JO"/>
              </w:rPr>
              <w:t>سلسلة حكايات الاردن</w:t>
            </w:r>
            <w:r w:rsidRPr="0055197F">
              <w:rPr>
                <w:rFonts w:asciiTheme="minorBidi" w:hAnsiTheme="minorBidi"/>
                <w:rtl/>
                <w:lang w:bidi="ar-JO"/>
              </w:rPr>
              <w:t>/ حكايات العقبة / التراث الشفوي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69"/>
              <w:jc w:val="center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3</w:t>
            </w:r>
            <w:r w:rsidRPr="0055197F">
              <w:rPr>
                <w:rFonts w:asciiTheme="minorBidi" w:hAnsiTheme="minorBidi"/>
                <w:rtl/>
                <w:lang w:bidi="ar-JO"/>
              </w:rPr>
              <w:t>-</w:t>
            </w:r>
          </w:p>
        </w:tc>
      </w:tr>
      <w:tr w:rsidR="007F5A48" w:rsidRPr="00940042" w:rsidTr="00A375D5">
        <w:tblPrEx>
          <w:tblCellMar>
            <w:left w:w="0" w:type="dxa"/>
            <w:right w:w="0" w:type="dxa"/>
          </w:tblCellMar>
        </w:tblPrEx>
        <w:trPr>
          <w:gridAfter w:val="1"/>
          <w:wAfter w:w="904" w:type="dxa"/>
          <w:trHeight w:val="99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9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في المطبعة سيصدر عام 2018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91"/>
              <w:rPr>
                <w:rFonts w:asciiTheme="minorBidi" w:hAnsiTheme="minorBidi"/>
                <w:rtl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250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41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العربية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14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2017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283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أ.د. محمد وهيب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left="2" w:right="139" w:hanging="2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/>
                <w:rtl/>
                <w:lang w:bidi="ar-JO"/>
              </w:rPr>
              <w:t>اكتشاف</w:t>
            </w:r>
            <w:r w:rsidRPr="0055197F"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 w:rsidRPr="0055197F">
              <w:rPr>
                <w:rFonts w:asciiTheme="minorBidi" w:hAnsiTheme="minorBidi"/>
                <w:rtl/>
                <w:lang w:bidi="ar-JO"/>
              </w:rPr>
              <w:t>أقدم مئذنة مسجد قائمة في العالم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A48" w:rsidRPr="0055197F" w:rsidRDefault="007F5A48" w:rsidP="00A375D5">
            <w:pPr>
              <w:autoSpaceDE w:val="0"/>
              <w:autoSpaceDN w:val="0"/>
              <w:adjustRightInd w:val="0"/>
              <w:spacing w:line="259" w:lineRule="atLeast"/>
              <w:ind w:right="169"/>
              <w:jc w:val="center"/>
              <w:rPr>
                <w:rFonts w:asciiTheme="minorBidi" w:hAnsiTheme="minorBidi"/>
                <w:lang w:bidi="ar-JO"/>
              </w:rPr>
            </w:pPr>
            <w:r w:rsidRPr="0055197F">
              <w:rPr>
                <w:rFonts w:asciiTheme="minorBidi" w:hAnsiTheme="minorBidi" w:hint="cs"/>
                <w:rtl/>
                <w:lang w:bidi="ar-JO"/>
              </w:rPr>
              <w:t>4</w:t>
            </w:r>
            <w:r w:rsidRPr="0055197F">
              <w:rPr>
                <w:rFonts w:asciiTheme="minorBidi" w:hAnsiTheme="minorBidi"/>
                <w:rtl/>
                <w:lang w:bidi="ar-JO"/>
              </w:rPr>
              <w:t>-</w:t>
            </w:r>
          </w:p>
        </w:tc>
      </w:tr>
    </w:tbl>
    <w:p w:rsidR="007F5A48" w:rsidRPr="00940042" w:rsidRDefault="007F5A48" w:rsidP="007F5A48">
      <w:pPr>
        <w:autoSpaceDE w:val="0"/>
        <w:autoSpaceDN w:val="0"/>
        <w:adjustRightInd w:val="0"/>
        <w:spacing w:line="259" w:lineRule="atLeast"/>
        <w:ind w:left="4349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F5A48" w:rsidRDefault="007F5A48" w:rsidP="007F5A48">
      <w:pPr>
        <w:pStyle w:val="ListParagraph"/>
        <w:ind w:left="232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7F5A48" w:rsidRDefault="007F5A48" w:rsidP="007F5A48">
      <w:pPr>
        <w:pStyle w:val="ListParagraph"/>
        <w:ind w:left="232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7F5A48" w:rsidRPr="00732E54" w:rsidRDefault="007F5A48" w:rsidP="007F5A48">
      <w:pPr>
        <w:pStyle w:val="ListParagraph"/>
        <w:numPr>
          <w:ilvl w:val="0"/>
          <w:numId w:val="1"/>
        </w:numPr>
        <w:ind w:left="232" w:hanging="425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32E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أبحاث الدكتور فراس علاونة: </w:t>
      </w:r>
    </w:p>
    <w:p w:rsidR="007F5A48" w:rsidRPr="0077445C" w:rsidRDefault="007F5A48" w:rsidP="007F5A48">
      <w:pPr>
        <w:jc w:val="lowKashida"/>
        <w:rPr>
          <w:rFonts w:cs="Simplified Arabic"/>
          <w:sz w:val="28"/>
          <w:szCs w:val="28"/>
          <w:rtl/>
          <w:lang w:bidi="ar-JO"/>
        </w:rPr>
      </w:pPr>
      <w:r w:rsidRPr="0077445C">
        <w:rPr>
          <w:rFonts w:cs="Simplified Arabic" w:hint="cs"/>
          <w:sz w:val="28"/>
          <w:szCs w:val="28"/>
          <w:rtl/>
          <w:lang w:bidi="ar-JO"/>
        </w:rPr>
        <w:t xml:space="preserve"> 1-البحث الأول: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368"/>
      </w:tblGrid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CHEMICAL ANALYSIS OF LATE ROMAN GLASS</w:t>
            </w:r>
          </w:p>
          <w:p w:rsidR="007F5A48" w:rsidRPr="0077445C" w:rsidRDefault="007F5A48" w:rsidP="00A375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FROM QASR AL RABBAH, JORDAN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Title: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spellStart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Firas</w:t>
            </w:r>
            <w:proofErr w:type="spellEnd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Alawneh1,2 </w:t>
            </w:r>
            <w:proofErr w:type="spellStart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Atef</w:t>
            </w:r>
            <w:proofErr w:type="spellEnd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Al Shiyab2, </w:t>
            </w:r>
            <w:proofErr w:type="spellStart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Wassef</w:t>
            </w:r>
            <w:proofErr w:type="spellEnd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Al Sekheneh3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Authors: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Mediterranean Archaeology and </w:t>
            </w:r>
            <w:proofErr w:type="spellStart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Archaeometry</w:t>
            </w:r>
            <w:proofErr w:type="spellEnd"/>
            <w:r w:rsidRPr="0077445C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.</w:t>
            </w:r>
            <w:r w:rsidRPr="0077445C">
              <w:rPr>
                <w:rFonts w:asciiTheme="majorBidi" w:hAnsiTheme="majorBidi" w:cstheme="majorBidi"/>
                <w:sz w:val="28"/>
                <w:szCs w:val="28"/>
              </w:rPr>
              <w:t xml:space="preserve"> The University of Aegean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Journal:</w:t>
            </w:r>
          </w:p>
        </w:tc>
      </w:tr>
    </w:tbl>
    <w:p w:rsidR="007F5A48" w:rsidRDefault="007F5A48" w:rsidP="007F5A48">
      <w:pPr>
        <w:ind w:right="-900"/>
        <w:jc w:val="lowKashida"/>
        <w:rPr>
          <w:rFonts w:cs="Simplified Arabic"/>
          <w:sz w:val="28"/>
          <w:szCs w:val="28"/>
          <w:rtl/>
          <w:lang w:bidi="ar-JO"/>
        </w:rPr>
      </w:pPr>
    </w:p>
    <w:p w:rsidR="007F5A48" w:rsidRPr="0077445C" w:rsidRDefault="007F5A48" w:rsidP="007F5A48">
      <w:pPr>
        <w:ind w:right="-900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2-</w:t>
      </w:r>
      <w:r w:rsidRPr="0077445C">
        <w:rPr>
          <w:rFonts w:cs="Simplified Arabic" w:hint="cs"/>
          <w:sz w:val="28"/>
          <w:szCs w:val="28"/>
          <w:rtl/>
          <w:lang w:bidi="ar-JO"/>
        </w:rPr>
        <w:t>البحث الثاني: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368"/>
      </w:tblGrid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77445C">
              <w:rPr>
                <w:sz w:val="28"/>
                <w:szCs w:val="28"/>
              </w:rPr>
              <w:t>AUTHENTICATION OF ROMAN CORRODED LEAD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ARTEFACTS FROM ARCHAEOLOGICAL SITES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IN CALCAREOUS ENVIRONMENT IN JORDAN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BY ELECTROCHEMICAL ANALYSIS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bidi w:val="0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Title: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bidi w:val="0"/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Wassef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Sekheneh1,2, Antonio Doménech-Carbó2,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Firas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Alawneh1,3 ,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Atef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Shiyab1,</w:t>
            </w:r>
            <w:r w:rsidRPr="0077445C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and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Ziad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Saad1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Authors: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right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Mediterranean Archaeology and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Archaeometry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>. The University of Aegean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Journal:</w:t>
            </w:r>
          </w:p>
        </w:tc>
      </w:tr>
    </w:tbl>
    <w:p w:rsidR="007F5A48" w:rsidRDefault="007F5A48" w:rsidP="007F5A48">
      <w:pPr>
        <w:pStyle w:val="ListParagraph"/>
        <w:jc w:val="lowKashida"/>
        <w:rPr>
          <w:rFonts w:cs="Simplified Arabic"/>
          <w:sz w:val="28"/>
          <w:szCs w:val="28"/>
          <w:rtl/>
          <w:lang w:bidi="ar-JO"/>
        </w:rPr>
      </w:pPr>
    </w:p>
    <w:p w:rsidR="007F5A48" w:rsidRPr="007B3E95" w:rsidRDefault="007F5A48" w:rsidP="007F5A48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br w:type="page"/>
      </w:r>
      <w:r w:rsidRPr="007B3E9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lastRenderedPageBreak/>
        <w:t>الترقيات وقبول التحكيم للكتب:</w:t>
      </w:r>
    </w:p>
    <w:p w:rsidR="007F5A48" w:rsidRDefault="007F5A48" w:rsidP="007F5A48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 اعتماد تحويل الدكتور فراس علاونة في قسم المحافظة على الآثار من رتبة أستاذ مشارك فئة (ب) إلى أستاذ مشارك فئة (أ) بعد أن قدم بحثين منشورين ي (</w:t>
      </w:r>
      <w:r>
        <w:rPr>
          <w:rFonts w:ascii="Simplified Arabic" w:hAnsi="Simplified Arabic" w:cs="Simplified Arabic"/>
          <w:sz w:val="28"/>
          <w:szCs w:val="28"/>
          <w:lang w:bidi="ar-JO"/>
        </w:rPr>
        <w:t>MAA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).</w:t>
      </w:r>
    </w:p>
    <w:p w:rsidR="007F5A48" w:rsidRPr="00590DAB" w:rsidRDefault="007F5A48" w:rsidP="007F5A48">
      <w:pPr>
        <w:pStyle w:val="ListParagraph"/>
        <w:numPr>
          <w:ilvl w:val="0"/>
          <w:numId w:val="8"/>
        </w:numPr>
        <w:jc w:val="lowKashida"/>
        <w:rPr>
          <w:rFonts w:cs="Simplified Arabic"/>
          <w:b/>
          <w:sz w:val="28"/>
          <w:szCs w:val="28"/>
          <w:rtl/>
          <w:lang w:bidi="ar-JO"/>
        </w:rPr>
      </w:pPr>
      <w:r w:rsidRPr="00590DAB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البحث الأول: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368"/>
      </w:tblGrid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right"/>
              <w:rPr>
                <w:rFonts w:cs="Simplified Arabic"/>
                <w:sz w:val="28"/>
                <w:szCs w:val="28"/>
                <w:lang w:bidi="ar-JO"/>
              </w:rPr>
            </w:pPr>
            <w:r w:rsidRPr="0077445C">
              <w:rPr>
                <w:rFonts w:cs="Simplified Arabic"/>
                <w:sz w:val="28"/>
                <w:szCs w:val="28"/>
                <w:lang w:bidi="ar-JO"/>
              </w:rPr>
              <w:t>CHEMICAL ANALYSIS OF LATE ROMAN GLASS</w:t>
            </w:r>
          </w:p>
          <w:p w:rsidR="007F5A48" w:rsidRPr="0077445C" w:rsidRDefault="007F5A48" w:rsidP="00A375D5">
            <w:pPr>
              <w:jc w:val="right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77445C">
              <w:rPr>
                <w:rFonts w:cs="Simplified Arabic"/>
                <w:sz w:val="28"/>
                <w:szCs w:val="28"/>
                <w:lang w:bidi="ar-JO"/>
              </w:rPr>
              <w:t>FROM QASR AL RABBAH, JORDAN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Title: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right"/>
              <w:rPr>
                <w:rFonts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Firas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Alawneh1,2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Atef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Shiyab2,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Wassef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Sekheneh3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Authors: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right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Mediterranean Archaeology and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Archaeometry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>.</w:t>
            </w:r>
            <w:r w:rsidRPr="0077445C">
              <w:rPr>
                <w:rFonts w:cs="Simplified Arabic"/>
                <w:sz w:val="28"/>
                <w:szCs w:val="28"/>
              </w:rPr>
              <w:t xml:space="preserve"> The University of Aegean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Journal:</w:t>
            </w:r>
          </w:p>
        </w:tc>
      </w:tr>
    </w:tbl>
    <w:p w:rsidR="007F5A48" w:rsidRPr="0077445C" w:rsidRDefault="007F5A48" w:rsidP="007F5A48">
      <w:pPr>
        <w:pStyle w:val="ListParagraph"/>
        <w:numPr>
          <w:ilvl w:val="0"/>
          <w:numId w:val="8"/>
        </w:numPr>
        <w:ind w:right="-90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77445C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</w:t>
      </w:r>
      <w:r w:rsidRPr="0077445C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لبحث الثاني: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1368"/>
      </w:tblGrid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77445C">
              <w:rPr>
                <w:sz w:val="28"/>
                <w:szCs w:val="28"/>
              </w:rPr>
              <w:t>AUTHENTICATION OF ROMAN CORRODED LEAD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ARTEFACTS FROM ARCHAEOLOGICAL SITES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IN CALCAREOUS ENVIRONMENT IN JORDAN</w:t>
            </w:r>
            <w:r w:rsidRPr="0077445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445C">
              <w:rPr>
                <w:sz w:val="28"/>
                <w:szCs w:val="28"/>
              </w:rPr>
              <w:t>BY ELECTROCHEMICAL ANALYSIS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bidi w:val="0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Title: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bidi w:val="0"/>
              <w:jc w:val="both"/>
              <w:rPr>
                <w:rFonts w:cs="Simplified Arabic"/>
                <w:sz w:val="28"/>
                <w:szCs w:val="28"/>
                <w:lang w:bidi="ar-JO"/>
              </w:rPr>
            </w:pP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Wassef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Sekheneh1,2, Antonio Doménech-Carbó2,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Firas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Alawneh1,3 ,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Atef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Shiyab1,</w:t>
            </w:r>
            <w:r w:rsidRPr="0077445C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and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Ziad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 Al Saad1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Authors:</w:t>
            </w:r>
          </w:p>
        </w:tc>
      </w:tr>
      <w:tr w:rsidR="007F5A48" w:rsidRPr="00FF31B4" w:rsidTr="00A375D5">
        <w:tc>
          <w:tcPr>
            <w:tcW w:w="7154" w:type="dxa"/>
          </w:tcPr>
          <w:p w:rsidR="007F5A48" w:rsidRPr="0077445C" w:rsidRDefault="007F5A48" w:rsidP="00A375D5">
            <w:pPr>
              <w:jc w:val="right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7445C">
              <w:rPr>
                <w:rFonts w:cs="Simplified Arabic"/>
                <w:sz w:val="28"/>
                <w:szCs w:val="28"/>
                <w:lang w:bidi="ar-JO"/>
              </w:rPr>
              <w:t xml:space="preserve">Mediterranean Archaeology and </w:t>
            </w:r>
            <w:proofErr w:type="spellStart"/>
            <w:r w:rsidRPr="0077445C">
              <w:rPr>
                <w:rFonts w:cs="Simplified Arabic"/>
                <w:sz w:val="28"/>
                <w:szCs w:val="28"/>
                <w:lang w:bidi="ar-JO"/>
              </w:rPr>
              <w:t>Archaeometry</w:t>
            </w:r>
            <w:proofErr w:type="spellEnd"/>
            <w:r w:rsidRPr="0077445C">
              <w:rPr>
                <w:rFonts w:cs="Simplified Arabic"/>
                <w:sz w:val="28"/>
                <w:szCs w:val="28"/>
                <w:lang w:bidi="ar-JO"/>
              </w:rPr>
              <w:t>. The University of Aegean</w:t>
            </w:r>
          </w:p>
        </w:tc>
        <w:tc>
          <w:tcPr>
            <w:tcW w:w="1368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Journal:</w:t>
            </w:r>
          </w:p>
        </w:tc>
      </w:tr>
    </w:tbl>
    <w:p w:rsidR="007F5A48" w:rsidRDefault="007F5A48" w:rsidP="007F5A48">
      <w:pPr>
        <w:jc w:val="lowKashida"/>
        <w:rPr>
          <w:rFonts w:cs="Simplified Arabic"/>
          <w:sz w:val="28"/>
          <w:szCs w:val="28"/>
          <w:rtl/>
          <w:lang w:bidi="ar-JO"/>
        </w:rPr>
      </w:pPr>
    </w:p>
    <w:p w:rsidR="007F5A48" w:rsidRPr="00A74D7C" w:rsidRDefault="007F5A48" w:rsidP="007F5A48">
      <w:pPr>
        <w:pStyle w:val="ListParagraph"/>
        <w:numPr>
          <w:ilvl w:val="0"/>
          <w:numId w:val="8"/>
        </w:numPr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A74D7C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البحث الثالث: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4"/>
        <w:gridCol w:w="1362"/>
      </w:tblGrid>
      <w:tr w:rsidR="007F5A48" w:rsidRPr="00FF31B4" w:rsidTr="00A375D5">
        <w:tc>
          <w:tcPr>
            <w:tcW w:w="6934" w:type="dxa"/>
          </w:tcPr>
          <w:p w:rsidR="007F5A48" w:rsidRPr="0077445C" w:rsidRDefault="007F5A48" w:rsidP="00A375D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Investigation of Late Roman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Rottery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from Gadara of the Decapolis, Jordan Using Multi-Methodic Approach.</w:t>
            </w:r>
          </w:p>
        </w:tc>
        <w:tc>
          <w:tcPr>
            <w:tcW w:w="1362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Title:</w:t>
            </w:r>
          </w:p>
        </w:tc>
      </w:tr>
      <w:tr w:rsidR="007F5A48" w:rsidRPr="00FF31B4" w:rsidTr="00A375D5">
        <w:tc>
          <w:tcPr>
            <w:tcW w:w="6934" w:type="dxa"/>
          </w:tcPr>
          <w:p w:rsidR="007F5A48" w:rsidRPr="0077445C" w:rsidRDefault="007F5A48" w:rsidP="00A375D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Atef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shiyab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, Ahmed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Shorman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, MAHER TARBOUSH, Nizar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Turshan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Firas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Alawneh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,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Rahabneh</w:t>
            </w:r>
            <w:proofErr w:type="spellEnd"/>
          </w:p>
        </w:tc>
        <w:tc>
          <w:tcPr>
            <w:tcW w:w="1362" w:type="dxa"/>
          </w:tcPr>
          <w:p w:rsidR="007F5A48" w:rsidRPr="00FF31B4" w:rsidRDefault="007F5A48" w:rsidP="00A375D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FF31B4">
              <w:rPr>
                <w:b/>
                <w:bCs/>
                <w:sz w:val="28"/>
                <w:szCs w:val="28"/>
                <w:lang w:bidi="ar-JO"/>
              </w:rPr>
              <w:t>Authors:</w:t>
            </w:r>
          </w:p>
        </w:tc>
      </w:tr>
    </w:tbl>
    <w:p w:rsidR="007F5A48" w:rsidRPr="0077445C" w:rsidRDefault="007F5A48" w:rsidP="007F5A48">
      <w:pPr>
        <w:jc w:val="lowKashida"/>
        <w:rPr>
          <w:rFonts w:cs="Simplified Arabic"/>
          <w:sz w:val="28"/>
          <w:szCs w:val="28"/>
          <w:lang w:bidi="ar-JO"/>
        </w:rPr>
      </w:pPr>
    </w:p>
    <w:p w:rsidR="007F5A48" w:rsidRDefault="007F5A48" w:rsidP="007F5A48">
      <w:pPr>
        <w:bidi w:val="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p w:rsidR="007F5A48" w:rsidRDefault="007F5A48" w:rsidP="007F5A48">
      <w:pPr>
        <w:pStyle w:val="ListParagraph"/>
        <w:numPr>
          <w:ilvl w:val="0"/>
          <w:numId w:val="9"/>
        </w:numPr>
        <w:ind w:left="226" w:hanging="429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تم قبول تحكيم فصلين من كتاب للدكتوره ميرنا مصطفى حيث كان </w:t>
      </w:r>
    </w:p>
    <w:p w:rsidR="007F5A48" w:rsidRPr="00590DAB" w:rsidRDefault="007F5A48" w:rsidP="007F5A48">
      <w:pPr>
        <w:pStyle w:val="ListParagraph"/>
        <w:numPr>
          <w:ilvl w:val="0"/>
          <w:numId w:val="10"/>
        </w:numPr>
        <w:ind w:left="226" w:hanging="429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590DA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عنوان الفصل الأول:</w:t>
      </w:r>
    </w:p>
    <w:p w:rsidR="007F5A48" w:rsidRPr="00590DAB" w:rsidRDefault="007F5A48" w:rsidP="007F5A48">
      <w:pPr>
        <w:numPr>
          <w:ilvl w:val="0"/>
          <w:numId w:val="11"/>
        </w:numPr>
        <w:bidi w:val="0"/>
        <w:spacing w:after="0" w:line="240" w:lineRule="auto"/>
        <w:ind w:left="426" w:right="746" w:hanging="385"/>
        <w:jc w:val="both"/>
        <w:rPr>
          <w:rFonts w:asciiTheme="majorBidi" w:hAnsiTheme="majorBidi" w:cstheme="majorBidi"/>
          <w:sz w:val="28"/>
          <w:szCs w:val="28"/>
        </w:rPr>
      </w:pPr>
      <w:r w:rsidRPr="00590DAB">
        <w:rPr>
          <w:rFonts w:asciiTheme="majorBidi" w:hAnsiTheme="majorBidi" w:cstheme="majorBidi"/>
          <w:sz w:val="28"/>
          <w:szCs w:val="28"/>
        </w:rPr>
        <w:t>The impacts of Tourism Development on the Archaeological Site of Petra and Local Communities in Surrounding Villages.</w:t>
      </w:r>
    </w:p>
    <w:p w:rsidR="007F5A48" w:rsidRPr="00590DAB" w:rsidRDefault="007F5A48" w:rsidP="007F5A48">
      <w:pPr>
        <w:pStyle w:val="ListParagraph"/>
        <w:numPr>
          <w:ilvl w:val="0"/>
          <w:numId w:val="10"/>
        </w:numPr>
        <w:spacing w:after="0" w:line="240" w:lineRule="auto"/>
        <w:ind w:left="226" w:right="746" w:hanging="284"/>
        <w:rPr>
          <w:rFonts w:asciiTheme="majorBidi" w:hAnsiTheme="majorBidi" w:cstheme="majorBidi"/>
          <w:sz w:val="28"/>
          <w:szCs w:val="28"/>
          <w:rtl/>
        </w:rPr>
      </w:pPr>
      <w:r w:rsidRPr="00590DAB">
        <w:rPr>
          <w:rFonts w:asciiTheme="majorBidi" w:hAnsiTheme="majorBidi" w:cstheme="majorBidi"/>
          <w:sz w:val="28"/>
          <w:szCs w:val="28"/>
          <w:rtl/>
          <w:lang w:bidi="ar-JO"/>
        </w:rPr>
        <w:t>عنوان الفصل الثاني:</w:t>
      </w:r>
    </w:p>
    <w:p w:rsidR="007F5A48" w:rsidRPr="00590DAB" w:rsidRDefault="007F5A48" w:rsidP="007F5A48">
      <w:pPr>
        <w:numPr>
          <w:ilvl w:val="0"/>
          <w:numId w:val="11"/>
        </w:numPr>
        <w:bidi w:val="0"/>
        <w:spacing w:after="0" w:line="240" w:lineRule="auto"/>
        <w:ind w:left="426" w:right="746" w:hanging="385"/>
        <w:jc w:val="both"/>
        <w:rPr>
          <w:rFonts w:asciiTheme="majorBidi" w:hAnsiTheme="majorBidi" w:cstheme="majorBidi"/>
          <w:sz w:val="28"/>
          <w:szCs w:val="28"/>
        </w:rPr>
      </w:pPr>
      <w:r w:rsidRPr="00590DAB">
        <w:rPr>
          <w:rFonts w:asciiTheme="majorBidi" w:hAnsiTheme="majorBidi" w:cstheme="majorBidi"/>
          <w:sz w:val="28"/>
          <w:szCs w:val="28"/>
        </w:rPr>
        <w:t xml:space="preserve">Improving the contribution of Domestic Tourism to the Economy of Jordan. </w:t>
      </w:r>
    </w:p>
    <w:p w:rsidR="007F5A48" w:rsidRDefault="007F5A48" w:rsidP="007F5A48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F1557" w:rsidRDefault="00DF1557">
      <w:bookmarkStart w:id="0" w:name="_GoBack"/>
      <w:bookmarkEnd w:id="0"/>
    </w:p>
    <w:sectPr w:rsidR="00DF1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14C"/>
    <w:multiLevelType w:val="hybridMultilevel"/>
    <w:tmpl w:val="E85EFC4A"/>
    <w:lvl w:ilvl="0" w:tplc="2F926304">
      <w:start w:val="1"/>
      <w:numFmt w:val="decimal"/>
      <w:lvlText w:val="%1)"/>
      <w:lvlJc w:val="left"/>
      <w:pPr>
        <w:ind w:left="996" w:hanging="360"/>
      </w:pPr>
    </w:lvl>
    <w:lvl w:ilvl="1" w:tplc="04090019">
      <w:start w:val="1"/>
      <w:numFmt w:val="lowerLetter"/>
      <w:lvlText w:val="%2."/>
      <w:lvlJc w:val="left"/>
      <w:pPr>
        <w:ind w:left="1716" w:hanging="360"/>
      </w:pPr>
    </w:lvl>
    <w:lvl w:ilvl="2" w:tplc="0409001B">
      <w:start w:val="1"/>
      <w:numFmt w:val="lowerRoman"/>
      <w:lvlText w:val="%3."/>
      <w:lvlJc w:val="right"/>
      <w:pPr>
        <w:ind w:left="2436" w:hanging="180"/>
      </w:pPr>
    </w:lvl>
    <w:lvl w:ilvl="3" w:tplc="0409000F">
      <w:start w:val="1"/>
      <w:numFmt w:val="decimal"/>
      <w:lvlText w:val="%4."/>
      <w:lvlJc w:val="left"/>
      <w:pPr>
        <w:ind w:left="3156" w:hanging="360"/>
      </w:pPr>
    </w:lvl>
    <w:lvl w:ilvl="4" w:tplc="04090019">
      <w:start w:val="1"/>
      <w:numFmt w:val="lowerLetter"/>
      <w:lvlText w:val="%5."/>
      <w:lvlJc w:val="left"/>
      <w:pPr>
        <w:ind w:left="3876" w:hanging="360"/>
      </w:pPr>
    </w:lvl>
    <w:lvl w:ilvl="5" w:tplc="0409001B">
      <w:start w:val="1"/>
      <w:numFmt w:val="lowerRoman"/>
      <w:lvlText w:val="%6."/>
      <w:lvlJc w:val="right"/>
      <w:pPr>
        <w:ind w:left="4596" w:hanging="180"/>
      </w:pPr>
    </w:lvl>
    <w:lvl w:ilvl="6" w:tplc="0409000F">
      <w:start w:val="1"/>
      <w:numFmt w:val="decimal"/>
      <w:lvlText w:val="%7."/>
      <w:lvlJc w:val="left"/>
      <w:pPr>
        <w:ind w:left="5316" w:hanging="360"/>
      </w:pPr>
    </w:lvl>
    <w:lvl w:ilvl="7" w:tplc="04090019">
      <w:start w:val="1"/>
      <w:numFmt w:val="lowerLetter"/>
      <w:lvlText w:val="%8."/>
      <w:lvlJc w:val="left"/>
      <w:pPr>
        <w:ind w:left="6036" w:hanging="360"/>
      </w:pPr>
    </w:lvl>
    <w:lvl w:ilvl="8" w:tplc="0409001B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AA92B33"/>
    <w:multiLevelType w:val="hybridMultilevel"/>
    <w:tmpl w:val="B4C80804"/>
    <w:lvl w:ilvl="0" w:tplc="62DC07B2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372CD"/>
    <w:multiLevelType w:val="hybridMultilevel"/>
    <w:tmpl w:val="E74E17B8"/>
    <w:lvl w:ilvl="0" w:tplc="3E083D92">
      <w:numFmt w:val="chosung"/>
      <w:lvlText w:val="-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3767E37"/>
    <w:multiLevelType w:val="hybridMultilevel"/>
    <w:tmpl w:val="855C7A58"/>
    <w:lvl w:ilvl="0" w:tplc="F6A26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371A"/>
    <w:multiLevelType w:val="hybridMultilevel"/>
    <w:tmpl w:val="7E0C2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54070"/>
    <w:multiLevelType w:val="hybridMultilevel"/>
    <w:tmpl w:val="DFDC87A8"/>
    <w:lvl w:ilvl="0" w:tplc="7DAC9D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F6CA1"/>
    <w:multiLevelType w:val="hybridMultilevel"/>
    <w:tmpl w:val="697A09F4"/>
    <w:lvl w:ilvl="0" w:tplc="3E083D92">
      <w:numFmt w:val="chosung"/>
      <w:lvlText w:val="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4045"/>
    <w:multiLevelType w:val="hybridMultilevel"/>
    <w:tmpl w:val="F96668C2"/>
    <w:lvl w:ilvl="0" w:tplc="A70883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958D3"/>
    <w:multiLevelType w:val="hybridMultilevel"/>
    <w:tmpl w:val="D2B8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5268AE"/>
    <w:multiLevelType w:val="hybridMultilevel"/>
    <w:tmpl w:val="308E20B4"/>
    <w:lvl w:ilvl="0" w:tplc="3E083D92">
      <w:numFmt w:val="chosung"/>
      <w:lvlText w:val="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E6BD3"/>
    <w:multiLevelType w:val="hybridMultilevel"/>
    <w:tmpl w:val="BA0E2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A"/>
    <w:rsid w:val="00453E2A"/>
    <w:rsid w:val="007F5A48"/>
    <w:rsid w:val="00D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9584-7D10-47B4-BF12-D809068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48"/>
    <w:pPr>
      <w:ind w:left="720"/>
      <w:contextualSpacing/>
    </w:pPr>
  </w:style>
  <w:style w:type="paragraph" w:customStyle="1" w:styleId="Einzug">
    <w:name w:val="Einzug"/>
    <w:basedOn w:val="Normal"/>
    <w:rsid w:val="007F5A48"/>
    <w:pPr>
      <w:tabs>
        <w:tab w:val="left" w:pos="454"/>
      </w:tabs>
      <w:bidi w:val="0"/>
      <w:spacing w:before="140" w:after="140" w:afterAutospacing="1" w:line="240" w:lineRule="auto"/>
      <w:ind w:left="454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2020-12-23T16:11:00Z</dcterms:created>
  <dcterms:modified xsi:type="dcterms:W3CDTF">2020-12-23T16:13:00Z</dcterms:modified>
</cp:coreProperties>
</file>