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33" w:rsidRDefault="00DD1433" w:rsidP="00186A31">
      <w:pPr>
        <w:spacing w:line="240" w:lineRule="auto"/>
        <w:ind w:right="-284"/>
        <w:jc w:val="center"/>
        <w:rPr>
          <w:rFonts w:asciiTheme="minorBidi" w:hAnsiTheme="minorBidi" w:hint="cs"/>
          <w:b/>
          <w:bCs/>
          <w:sz w:val="28"/>
          <w:szCs w:val="28"/>
          <w:rtl/>
          <w:lang w:bidi="ar-JO"/>
        </w:rPr>
      </w:pPr>
    </w:p>
    <w:p w:rsidR="00DD1433" w:rsidRDefault="00DD1433" w:rsidP="00186A31">
      <w:pPr>
        <w:spacing w:line="240" w:lineRule="auto"/>
        <w:ind w:right="-284"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186A31" w:rsidRDefault="00186A31" w:rsidP="00186A31">
      <w:pPr>
        <w:spacing w:line="240" w:lineRule="auto"/>
        <w:ind w:right="-284"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أسس اعتماد المجلات</w:t>
      </w:r>
      <w:r w:rsidR="00FD477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العلمية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لأغراض النقل والتحويل والترقية</w:t>
      </w:r>
    </w:p>
    <w:p w:rsidR="00186A31" w:rsidRDefault="00186A31" w:rsidP="00186A31">
      <w:pPr>
        <w:spacing w:line="240" w:lineRule="auto"/>
        <w:ind w:right="-284"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في الكليات الإنسانية</w:t>
      </w:r>
      <w:r w:rsidRPr="00186A31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في الجامعة الهاشمية  </w:t>
      </w:r>
    </w:p>
    <w:p w:rsidR="00953219" w:rsidRPr="00FD4778" w:rsidRDefault="00953219" w:rsidP="00FD4778">
      <w:pPr>
        <w:spacing w:line="240" w:lineRule="auto"/>
        <w:ind w:right="-284"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صادرة عن مجلس العمداء بموجب قراره ذي الرقم </w:t>
      </w:r>
      <w:r w:rsidRPr="00FD4778">
        <w:rPr>
          <w:rFonts w:asciiTheme="minorBidi" w:hAnsiTheme="minorBidi"/>
          <w:b/>
          <w:bCs/>
          <w:sz w:val="28"/>
          <w:szCs w:val="28"/>
          <w:rtl/>
          <w:lang w:bidi="ar-JO"/>
        </w:rPr>
        <w:t>(</w:t>
      </w:r>
      <w:r w:rsidRPr="00FD477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121</w:t>
      </w:r>
      <w:r w:rsidRPr="00FD4778">
        <w:rPr>
          <w:rFonts w:asciiTheme="minorBidi" w:hAnsiTheme="minorBidi"/>
          <w:b/>
          <w:bCs/>
          <w:sz w:val="28"/>
          <w:szCs w:val="28"/>
          <w:rtl/>
          <w:lang w:bidi="ar-JO"/>
        </w:rPr>
        <w:t>/</w:t>
      </w:r>
      <w:r w:rsidRPr="00FD477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5/2017)</w:t>
      </w:r>
    </w:p>
    <w:p w:rsidR="00953219" w:rsidRDefault="00FD4778" w:rsidP="00FD4778">
      <w:pPr>
        <w:spacing w:line="240" w:lineRule="auto"/>
        <w:ind w:right="-284"/>
        <w:jc w:val="center"/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ويعمل بها من تاريخ إقرارها</w:t>
      </w:r>
      <w:r w:rsidR="00953219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في 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17</w:t>
      </w:r>
      <w:r w:rsidR="00953219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/10/2016</w:t>
      </w:r>
    </w:p>
    <w:p w:rsidR="00186A31" w:rsidRPr="00FD4778" w:rsidRDefault="00186A31" w:rsidP="00FD4778">
      <w:pPr>
        <w:spacing w:line="240" w:lineRule="auto"/>
        <w:ind w:right="-284"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FD4778">
        <w:rPr>
          <w:rFonts w:asciiTheme="minorBidi" w:hAnsiTheme="minorBidi"/>
          <w:b/>
          <w:bCs/>
          <w:sz w:val="28"/>
          <w:szCs w:val="28"/>
          <w:rtl/>
          <w:lang w:bidi="ar-JO"/>
        </w:rPr>
        <w:t>*******</w:t>
      </w:r>
      <w:r w:rsidR="00FD477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*********</w:t>
      </w:r>
      <w:r w:rsidRPr="00FD4778">
        <w:rPr>
          <w:rFonts w:asciiTheme="minorBidi" w:hAnsiTheme="minorBidi"/>
          <w:b/>
          <w:bCs/>
          <w:sz w:val="28"/>
          <w:szCs w:val="28"/>
          <w:rtl/>
          <w:lang w:bidi="ar-JO"/>
        </w:rPr>
        <w:t>************************</w:t>
      </w:r>
    </w:p>
    <w:tbl>
      <w:tblPr>
        <w:tblStyle w:val="TableGrid"/>
        <w:bidiVisual/>
        <w:tblW w:w="9356" w:type="dxa"/>
        <w:tblInd w:w="-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387"/>
      </w:tblGrid>
      <w:tr w:rsidR="00186A31" w:rsidRPr="001A3208" w:rsidTr="00310E12">
        <w:tc>
          <w:tcPr>
            <w:tcW w:w="9356" w:type="dxa"/>
            <w:gridSpan w:val="2"/>
            <w:hideMark/>
          </w:tcPr>
          <w:p w:rsidR="009C553E" w:rsidRPr="009C553E" w:rsidRDefault="009C553E" w:rsidP="009C553E">
            <w:pPr>
              <w:spacing w:line="480" w:lineRule="auto"/>
              <w:ind w:left="1451" w:hanging="1451"/>
              <w:jc w:val="both"/>
              <w:rPr>
                <w:rFonts w:eastAsiaTheme="minorEastAsia"/>
                <w:sz w:val="2"/>
                <w:szCs w:val="2"/>
                <w:rtl/>
              </w:rPr>
            </w:pPr>
          </w:p>
          <w:p w:rsidR="00DD1433" w:rsidRDefault="00DD1433" w:rsidP="001F3DFD">
            <w:pPr>
              <w:spacing w:line="480" w:lineRule="auto"/>
              <w:ind w:left="1451" w:hanging="1451"/>
              <w:jc w:val="both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</w:p>
          <w:p w:rsidR="00DD1433" w:rsidRPr="00DD1433" w:rsidRDefault="00DD1433" w:rsidP="001F3DFD">
            <w:pPr>
              <w:spacing w:line="480" w:lineRule="auto"/>
              <w:ind w:left="1451" w:hanging="1451"/>
              <w:jc w:val="both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DD1433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أولاً: تعر</w:t>
            </w:r>
            <w:r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ّ</w:t>
            </w:r>
            <w:r w:rsidRPr="00DD1433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ف الكليات الإنسانية في هذه الأسس وفقاً للأتي:</w:t>
            </w:r>
          </w:p>
          <w:p w:rsidR="00186A31" w:rsidRPr="001A3208" w:rsidRDefault="00186A31" w:rsidP="0086535C">
            <w:pPr>
              <w:spacing w:line="480" w:lineRule="auto"/>
              <w:ind w:left="1451" w:hanging="1451"/>
              <w:rPr>
                <w:rFonts w:eastAsiaTheme="minorEastAsia"/>
                <w:sz w:val="28"/>
                <w:szCs w:val="28"/>
              </w:rPr>
            </w:pPr>
            <w:r w:rsidRPr="001A3208">
              <w:rPr>
                <w:rFonts w:eastAsiaTheme="minorEastAsia" w:hint="cs"/>
                <w:sz w:val="28"/>
                <w:szCs w:val="28"/>
                <w:rtl/>
              </w:rPr>
              <w:t>- كلية الآداب: اللغة العربية واللغة الإنجليزية</w:t>
            </w:r>
            <w:r w:rsidR="001F3DFD">
              <w:rPr>
                <w:rFonts w:eastAsiaTheme="minorEastAsia" w:hint="cs"/>
                <w:sz w:val="28"/>
                <w:szCs w:val="28"/>
                <w:rtl/>
              </w:rPr>
              <w:t>، والأدب والدراسات الثقافية</w:t>
            </w:r>
            <w:r w:rsidRPr="001A3208">
              <w:rPr>
                <w:rFonts w:eastAsiaTheme="minorEastAsia" w:hint="cs"/>
                <w:sz w:val="28"/>
                <w:szCs w:val="28"/>
                <w:rtl/>
              </w:rPr>
              <w:t xml:space="preserve">، </w:t>
            </w:r>
            <w:r w:rsidR="001F3DFD">
              <w:rPr>
                <w:rFonts w:eastAsiaTheme="minorEastAsia" w:hint="cs"/>
                <w:sz w:val="28"/>
                <w:szCs w:val="28"/>
                <w:rtl/>
              </w:rPr>
              <w:t>و</w:t>
            </w:r>
            <w:r w:rsidRPr="001A3208">
              <w:rPr>
                <w:rFonts w:eastAsiaTheme="minorEastAsia" w:hint="cs"/>
                <w:sz w:val="28"/>
                <w:szCs w:val="28"/>
                <w:rtl/>
              </w:rPr>
              <w:t>العلاقات الدولية والعلوم السياسية</w:t>
            </w:r>
            <w:r w:rsidR="009C553E">
              <w:rPr>
                <w:rFonts w:eastAsiaTheme="minorEastAsia" w:hint="cs"/>
                <w:sz w:val="28"/>
                <w:szCs w:val="28"/>
                <w:rtl/>
              </w:rPr>
              <w:t xml:space="preserve"> وعلم الاجتماع والدراسات الإسلامية</w:t>
            </w:r>
            <w:r w:rsidR="0086535C">
              <w:rPr>
                <w:rFonts w:eastAsiaTheme="minorEastAsia" w:hint="cs"/>
                <w:sz w:val="28"/>
                <w:szCs w:val="28"/>
                <w:rtl/>
              </w:rPr>
              <w:t> </w:t>
            </w:r>
            <w:r w:rsidR="0086535C">
              <w:rPr>
                <w:rFonts w:eastAsiaTheme="minorEastAsia" w:hint="cs"/>
                <w:bCs/>
                <w:smallCaps/>
                <w:sz w:val="24"/>
                <w:szCs w:val="24"/>
                <w:rtl/>
              </w:rPr>
              <w:t>و</w:t>
            </w:r>
            <w:r w:rsidR="0086535C" w:rsidRPr="0086535C">
              <w:rPr>
                <w:rFonts w:eastAsiaTheme="minorEastAsia" w:hint="cs"/>
                <w:b/>
                <w:smallCaps/>
                <w:vanish/>
                <w:sz w:val="24"/>
                <w:szCs w:val="24"/>
                <w:rtl/>
              </w:rPr>
              <w:t>و</w:t>
            </w:r>
            <w:r w:rsidR="0086535C" w:rsidRPr="0086535C">
              <w:rPr>
                <w:rFonts w:eastAsiaTheme="minorEastAsia" w:hint="cs"/>
                <w:b/>
                <w:smallCaps/>
                <w:sz w:val="24"/>
                <w:szCs w:val="24"/>
                <w:rtl/>
              </w:rPr>
              <w:t>التاريخ</w:t>
            </w:r>
            <w:r w:rsidRPr="0086535C">
              <w:rPr>
                <w:rFonts w:eastAsiaTheme="minorEastAsia"/>
                <w:b/>
                <w:sz w:val="28"/>
                <w:szCs w:val="28"/>
                <w:rtl/>
              </w:rPr>
              <w:t>.</w:t>
            </w:r>
          </w:p>
        </w:tc>
      </w:tr>
      <w:tr w:rsidR="00186A31" w:rsidRPr="001A3208" w:rsidTr="001A3208">
        <w:tc>
          <w:tcPr>
            <w:tcW w:w="3969" w:type="dxa"/>
            <w:hideMark/>
          </w:tcPr>
          <w:p w:rsidR="00186A31" w:rsidRPr="001A3208" w:rsidRDefault="00186A31" w:rsidP="001A3208">
            <w:pPr>
              <w:spacing w:line="480" w:lineRule="auto"/>
              <w:jc w:val="both"/>
              <w:rPr>
                <w:rFonts w:eastAsiaTheme="minorEastAsia"/>
                <w:sz w:val="28"/>
                <w:szCs w:val="28"/>
                <w:rtl/>
              </w:rPr>
            </w:pPr>
            <w:r w:rsidRPr="001A3208">
              <w:rPr>
                <w:rFonts w:eastAsiaTheme="minorEastAsia" w:hint="cs"/>
                <w:sz w:val="28"/>
                <w:szCs w:val="28"/>
                <w:rtl/>
              </w:rPr>
              <w:t>- كلية العلوم التربوية</w:t>
            </w:r>
          </w:p>
          <w:p w:rsidR="00186A31" w:rsidRPr="001A3208" w:rsidRDefault="00186A31" w:rsidP="001A3208">
            <w:pPr>
              <w:spacing w:line="480" w:lineRule="auto"/>
              <w:jc w:val="both"/>
              <w:rPr>
                <w:rFonts w:eastAsiaTheme="minorEastAsia"/>
                <w:sz w:val="28"/>
                <w:szCs w:val="28"/>
                <w:rtl/>
              </w:rPr>
            </w:pPr>
            <w:r w:rsidRPr="001A3208">
              <w:rPr>
                <w:rFonts w:eastAsiaTheme="minorEastAsia" w:hint="cs"/>
                <w:sz w:val="28"/>
                <w:szCs w:val="28"/>
                <w:rtl/>
              </w:rPr>
              <w:t>- كلية الملكة رانيا للطفولة</w:t>
            </w:r>
          </w:p>
          <w:p w:rsidR="00186A31" w:rsidRPr="001A3208" w:rsidRDefault="00186A31" w:rsidP="001A3208">
            <w:pPr>
              <w:spacing w:line="480" w:lineRule="auto"/>
              <w:jc w:val="both"/>
              <w:rPr>
                <w:rFonts w:eastAsiaTheme="minorEastAsia"/>
                <w:sz w:val="28"/>
                <w:szCs w:val="28"/>
                <w:rtl/>
              </w:rPr>
            </w:pPr>
            <w:r w:rsidRPr="001A3208">
              <w:rPr>
                <w:rFonts w:eastAsiaTheme="minorEastAsia" w:hint="cs"/>
                <w:sz w:val="28"/>
                <w:szCs w:val="28"/>
                <w:rtl/>
              </w:rPr>
              <w:t>- كلية الاقتصاد والعلوم الإدارية</w:t>
            </w:r>
          </w:p>
          <w:p w:rsidR="00186A31" w:rsidRPr="001A3208" w:rsidRDefault="00186A31" w:rsidP="001A3208">
            <w:pPr>
              <w:spacing w:line="480" w:lineRule="auto"/>
              <w:jc w:val="both"/>
              <w:rPr>
                <w:rFonts w:eastAsiaTheme="minorEastAsia"/>
                <w:sz w:val="28"/>
                <w:szCs w:val="28"/>
                <w:rtl/>
              </w:rPr>
            </w:pPr>
            <w:r w:rsidRPr="001A3208">
              <w:rPr>
                <w:rFonts w:eastAsiaTheme="minorEastAsia" w:hint="cs"/>
                <w:sz w:val="28"/>
                <w:szCs w:val="28"/>
                <w:rtl/>
              </w:rPr>
              <w:t>- كلية التربية البدنية وعلوم الرياضة</w:t>
            </w:r>
          </w:p>
          <w:p w:rsidR="00186A31" w:rsidRPr="001A3208" w:rsidRDefault="00186A31" w:rsidP="001A3208">
            <w:pPr>
              <w:spacing w:line="480" w:lineRule="auto"/>
              <w:jc w:val="both"/>
              <w:rPr>
                <w:rFonts w:eastAsiaTheme="minorEastAsia"/>
                <w:sz w:val="28"/>
                <w:szCs w:val="28"/>
                <w:rtl/>
              </w:rPr>
            </w:pPr>
            <w:r w:rsidRPr="001A3208">
              <w:rPr>
                <w:rFonts w:eastAsiaTheme="minorEastAsia" w:hint="cs"/>
                <w:sz w:val="28"/>
                <w:szCs w:val="28"/>
                <w:rtl/>
              </w:rPr>
              <w:t>- كلية الملكة رانيا للسياحة والتراث</w:t>
            </w:r>
          </w:p>
        </w:tc>
        <w:tc>
          <w:tcPr>
            <w:tcW w:w="5387" w:type="dxa"/>
          </w:tcPr>
          <w:p w:rsidR="00186A31" w:rsidRPr="001A3208" w:rsidRDefault="00186A31" w:rsidP="001A3208">
            <w:pPr>
              <w:spacing w:line="480" w:lineRule="auto"/>
              <w:jc w:val="both"/>
              <w:rPr>
                <w:rFonts w:eastAsiaTheme="minorEastAsia"/>
                <w:sz w:val="28"/>
                <w:szCs w:val="28"/>
                <w:rtl/>
              </w:rPr>
            </w:pPr>
          </w:p>
        </w:tc>
      </w:tr>
    </w:tbl>
    <w:p w:rsidR="001A3208" w:rsidRPr="001A3208" w:rsidRDefault="001A3208" w:rsidP="001A3208">
      <w:pPr>
        <w:spacing w:line="480" w:lineRule="auto"/>
        <w:rPr>
          <w:sz w:val="2"/>
          <w:szCs w:val="2"/>
          <w:rtl/>
        </w:rPr>
      </w:pPr>
    </w:p>
    <w:p w:rsidR="00186A31" w:rsidRPr="001A3208" w:rsidRDefault="00DD1433" w:rsidP="00DD1433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على أن</w:t>
      </w:r>
      <w:r w:rsidR="00186A31" w:rsidRPr="001A3208">
        <w:rPr>
          <w:rFonts w:hint="cs"/>
          <w:sz w:val="28"/>
          <w:szCs w:val="28"/>
          <w:rtl/>
        </w:rPr>
        <w:t xml:space="preserve"> تطبق تعليمات الهيئة التدريسية في الجامعة الهاشمية </w:t>
      </w:r>
      <w:r w:rsidRPr="001A3208">
        <w:rPr>
          <w:rFonts w:hint="cs"/>
          <w:sz w:val="28"/>
          <w:szCs w:val="28"/>
          <w:rtl/>
        </w:rPr>
        <w:t xml:space="preserve">رقم (9) لسنة (2004) </w:t>
      </w:r>
      <w:r w:rsidR="00186A31" w:rsidRPr="001A3208">
        <w:rPr>
          <w:rFonts w:hint="cs"/>
          <w:sz w:val="28"/>
          <w:szCs w:val="28"/>
          <w:rtl/>
        </w:rPr>
        <w:t>وما جاء في الفصل الرابع</w:t>
      </w:r>
      <w:r>
        <w:rPr>
          <w:rFonts w:hint="cs"/>
          <w:sz w:val="28"/>
          <w:szCs w:val="28"/>
          <w:rtl/>
        </w:rPr>
        <w:t xml:space="preserve"> منها</w:t>
      </w:r>
      <w:r w:rsidR="00186A31" w:rsidRPr="001A3208">
        <w:rPr>
          <w:rFonts w:hint="cs"/>
          <w:sz w:val="28"/>
          <w:szCs w:val="28"/>
          <w:rtl/>
        </w:rPr>
        <w:t xml:space="preserve"> تحت عنوان "الترقية والنقل" المواد (18-34).</w:t>
      </w:r>
    </w:p>
    <w:p w:rsidR="00186A31" w:rsidRPr="001A3208" w:rsidRDefault="00DD1433" w:rsidP="009C553E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ثانياً</w:t>
      </w:r>
      <w:r w:rsidR="00186A31" w:rsidRPr="001A3208">
        <w:rPr>
          <w:rFonts w:hint="cs"/>
          <w:b/>
          <w:bCs/>
          <w:sz w:val="28"/>
          <w:szCs w:val="28"/>
          <w:rtl/>
        </w:rPr>
        <w:t>: المجلات العالمية في الكليات الإنسانية التي تكون مصنفة في أي من التصنيفات التالية:</w:t>
      </w:r>
    </w:p>
    <w:p w:rsidR="00186A31" w:rsidRPr="00DD1433" w:rsidRDefault="00186A31" w:rsidP="009C553E">
      <w:pPr>
        <w:bidi w:val="0"/>
        <w:spacing w:line="240" w:lineRule="auto"/>
        <w:rPr>
          <w:sz w:val="27"/>
          <w:szCs w:val="27"/>
        </w:rPr>
      </w:pPr>
      <w:r w:rsidRPr="00DD1433">
        <w:rPr>
          <w:sz w:val="27"/>
          <w:szCs w:val="27"/>
        </w:rPr>
        <w:t>- Thomson Reuters, Science Citation Index.</w:t>
      </w:r>
    </w:p>
    <w:p w:rsidR="00186A31" w:rsidRPr="00DD1433" w:rsidRDefault="00186A31" w:rsidP="009C553E">
      <w:pPr>
        <w:bidi w:val="0"/>
        <w:spacing w:line="240" w:lineRule="auto"/>
        <w:rPr>
          <w:sz w:val="27"/>
          <w:szCs w:val="27"/>
        </w:rPr>
      </w:pPr>
      <w:r w:rsidRPr="00DD1433">
        <w:rPr>
          <w:sz w:val="27"/>
          <w:szCs w:val="27"/>
        </w:rPr>
        <w:t>- Social Science Citation Index</w:t>
      </w:r>
      <w:r w:rsidR="00E707AD" w:rsidRPr="00DD1433">
        <w:rPr>
          <w:sz w:val="27"/>
          <w:szCs w:val="27"/>
        </w:rPr>
        <w:t>.</w:t>
      </w:r>
    </w:p>
    <w:p w:rsidR="00186A31" w:rsidRPr="00DD1433" w:rsidRDefault="00186A31" w:rsidP="009C553E">
      <w:pPr>
        <w:bidi w:val="0"/>
        <w:spacing w:line="240" w:lineRule="auto"/>
        <w:rPr>
          <w:sz w:val="27"/>
          <w:szCs w:val="27"/>
        </w:rPr>
      </w:pPr>
      <w:r w:rsidRPr="00DD1433">
        <w:rPr>
          <w:sz w:val="27"/>
          <w:szCs w:val="27"/>
        </w:rPr>
        <w:t>- Scopus</w:t>
      </w:r>
      <w:r w:rsidR="00E707AD" w:rsidRPr="00DD1433">
        <w:rPr>
          <w:sz w:val="27"/>
          <w:szCs w:val="27"/>
        </w:rPr>
        <w:t>.</w:t>
      </w:r>
    </w:p>
    <w:p w:rsidR="00186A31" w:rsidRPr="00DD1433" w:rsidRDefault="00186A31" w:rsidP="009C553E">
      <w:pPr>
        <w:bidi w:val="0"/>
        <w:spacing w:line="240" w:lineRule="auto"/>
        <w:rPr>
          <w:sz w:val="27"/>
          <w:szCs w:val="27"/>
        </w:rPr>
      </w:pPr>
      <w:r w:rsidRPr="00DD1433">
        <w:rPr>
          <w:sz w:val="27"/>
          <w:szCs w:val="27"/>
        </w:rPr>
        <w:t>- The European Reference Index for Humanities</w:t>
      </w:r>
      <w:r w:rsidR="00E707AD" w:rsidRPr="00DD1433">
        <w:rPr>
          <w:sz w:val="27"/>
          <w:szCs w:val="27"/>
        </w:rPr>
        <w:t>.</w:t>
      </w:r>
    </w:p>
    <w:p w:rsidR="00E707AD" w:rsidRPr="00DD1433" w:rsidRDefault="00091773" w:rsidP="009C553E">
      <w:pPr>
        <w:bidi w:val="0"/>
        <w:spacing w:line="240" w:lineRule="auto"/>
        <w:rPr>
          <w:sz w:val="27"/>
          <w:szCs w:val="27"/>
        </w:rPr>
      </w:pPr>
      <w:r w:rsidRPr="00DD1433">
        <w:rPr>
          <w:sz w:val="27"/>
          <w:szCs w:val="27"/>
        </w:rPr>
        <w:t>- Excellence in Research for Australia (ERA).</w:t>
      </w:r>
    </w:p>
    <w:p w:rsidR="00E707AD" w:rsidRPr="00DD1433" w:rsidRDefault="00E707AD" w:rsidP="009C553E">
      <w:pPr>
        <w:bidi w:val="0"/>
        <w:spacing w:line="240" w:lineRule="auto"/>
        <w:rPr>
          <w:sz w:val="27"/>
          <w:szCs w:val="27"/>
        </w:rPr>
      </w:pPr>
      <w:r w:rsidRPr="00DD1433">
        <w:rPr>
          <w:sz w:val="27"/>
          <w:szCs w:val="27"/>
        </w:rPr>
        <w:t>- Australia Business Deans Council (ADBC).</w:t>
      </w:r>
    </w:p>
    <w:p w:rsidR="00DD1433" w:rsidRDefault="00DD1433" w:rsidP="009C553E">
      <w:pPr>
        <w:bidi w:val="0"/>
        <w:spacing w:line="240" w:lineRule="auto"/>
        <w:rPr>
          <w:sz w:val="27"/>
          <w:szCs w:val="27"/>
        </w:rPr>
      </w:pPr>
    </w:p>
    <w:p w:rsidR="00E707AD" w:rsidRPr="00DD1433" w:rsidRDefault="00E707AD" w:rsidP="00DD1433">
      <w:pPr>
        <w:bidi w:val="0"/>
        <w:spacing w:line="240" w:lineRule="auto"/>
        <w:rPr>
          <w:sz w:val="27"/>
          <w:szCs w:val="27"/>
        </w:rPr>
      </w:pPr>
      <w:r w:rsidRPr="00DD1433">
        <w:rPr>
          <w:sz w:val="27"/>
          <w:szCs w:val="27"/>
        </w:rPr>
        <w:t>- Association of Business Schools (ABS).</w:t>
      </w:r>
    </w:p>
    <w:p w:rsidR="0086535C" w:rsidRDefault="00091773" w:rsidP="001F3DFD">
      <w:pPr>
        <w:bidi w:val="0"/>
        <w:spacing w:line="240" w:lineRule="auto"/>
        <w:rPr>
          <w:sz w:val="27"/>
          <w:szCs w:val="27"/>
        </w:rPr>
      </w:pPr>
      <w:r w:rsidRPr="00DD1433">
        <w:rPr>
          <w:sz w:val="27"/>
          <w:szCs w:val="27"/>
        </w:rPr>
        <w:t xml:space="preserve">- </w:t>
      </w:r>
      <w:r w:rsidR="00E707AD" w:rsidRPr="00DD1433">
        <w:rPr>
          <w:sz w:val="27"/>
          <w:szCs w:val="27"/>
        </w:rPr>
        <w:t xml:space="preserve">EBSCOHOST/ </w:t>
      </w:r>
      <w:r w:rsidR="0086535C" w:rsidRPr="00DD1433">
        <w:rPr>
          <w:rFonts w:hint="cs"/>
          <w:sz w:val="27"/>
          <w:szCs w:val="27"/>
          <w:rtl/>
        </w:rPr>
        <w:t>(أن لا يزيدعدد الأبحاث على بحثين)</w:t>
      </w:r>
      <w:r w:rsidR="0086535C" w:rsidRPr="00DD1433">
        <w:rPr>
          <w:sz w:val="27"/>
          <w:szCs w:val="27"/>
        </w:rPr>
        <w:t>.</w:t>
      </w:r>
    </w:p>
    <w:p w:rsidR="00E707AD" w:rsidRPr="00DD1433" w:rsidRDefault="0086535C" w:rsidP="0086535C">
      <w:pPr>
        <w:bidi w:val="0"/>
        <w:spacing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E707AD" w:rsidRPr="00DD1433">
        <w:rPr>
          <w:sz w:val="27"/>
          <w:szCs w:val="27"/>
        </w:rPr>
        <w:t xml:space="preserve">Current Abstract </w:t>
      </w:r>
    </w:p>
    <w:p w:rsidR="0046713C" w:rsidRPr="00DD1433" w:rsidRDefault="0046713C" w:rsidP="0046713C">
      <w:pPr>
        <w:bidi w:val="0"/>
        <w:spacing w:line="240" w:lineRule="auto"/>
        <w:rPr>
          <w:sz w:val="27"/>
          <w:szCs w:val="27"/>
        </w:rPr>
      </w:pPr>
      <w:r w:rsidRPr="00DD1433">
        <w:rPr>
          <w:sz w:val="27"/>
          <w:szCs w:val="27"/>
        </w:rPr>
        <w:t>- Eric</w:t>
      </w:r>
    </w:p>
    <w:p w:rsidR="00E707AD" w:rsidRPr="00DD1433" w:rsidRDefault="00E707AD" w:rsidP="009C553E">
      <w:pPr>
        <w:bidi w:val="0"/>
        <w:spacing w:line="240" w:lineRule="auto"/>
        <w:rPr>
          <w:sz w:val="27"/>
          <w:szCs w:val="27"/>
        </w:rPr>
      </w:pPr>
      <w:r w:rsidRPr="00DD1433">
        <w:rPr>
          <w:sz w:val="27"/>
          <w:szCs w:val="27"/>
        </w:rPr>
        <w:t>- ECONLIT</w:t>
      </w:r>
    </w:p>
    <w:p w:rsidR="009C553E" w:rsidRPr="00DD1433" w:rsidRDefault="009C553E" w:rsidP="009C553E">
      <w:pPr>
        <w:bidi w:val="0"/>
        <w:spacing w:line="240" w:lineRule="auto"/>
        <w:rPr>
          <w:sz w:val="27"/>
          <w:szCs w:val="27"/>
        </w:rPr>
      </w:pPr>
      <w:r w:rsidRPr="00DD1433">
        <w:rPr>
          <w:sz w:val="27"/>
          <w:szCs w:val="27"/>
        </w:rPr>
        <w:t>- OVID</w:t>
      </w:r>
    </w:p>
    <w:p w:rsidR="00DD1433" w:rsidRDefault="00DD1433" w:rsidP="009C553E">
      <w:pPr>
        <w:spacing w:line="480" w:lineRule="auto"/>
        <w:ind w:left="-58" w:hanging="567"/>
        <w:jc w:val="both"/>
        <w:rPr>
          <w:rFonts w:hint="cs"/>
          <w:b/>
          <w:bCs/>
          <w:sz w:val="28"/>
          <w:szCs w:val="28"/>
          <w:rtl/>
        </w:rPr>
      </w:pPr>
    </w:p>
    <w:p w:rsidR="00E707AD" w:rsidRDefault="00DD1433" w:rsidP="009C553E">
      <w:pPr>
        <w:spacing w:line="480" w:lineRule="auto"/>
        <w:ind w:left="-58" w:hanging="567"/>
        <w:jc w:val="both"/>
        <w:rPr>
          <w:b/>
          <w:bCs/>
          <w:sz w:val="28"/>
          <w:szCs w:val="28"/>
          <w:rtl/>
        </w:rPr>
      </w:pPr>
      <w:r w:rsidRPr="001A3208">
        <w:rPr>
          <w:rFonts w:hint="cs"/>
          <w:b/>
          <w:bCs/>
          <w:sz w:val="28"/>
          <w:szCs w:val="28"/>
          <w:rtl/>
        </w:rPr>
        <w:t>ثالثاً</w:t>
      </w:r>
      <w:r w:rsidR="00E707AD" w:rsidRPr="001A3208">
        <w:rPr>
          <w:rFonts w:hint="cs"/>
          <w:b/>
          <w:bCs/>
          <w:sz w:val="28"/>
          <w:szCs w:val="28"/>
          <w:rtl/>
        </w:rPr>
        <w:t xml:space="preserve">: المجلات </w:t>
      </w:r>
      <w:r w:rsidR="0064455E" w:rsidRPr="001A3208">
        <w:rPr>
          <w:rFonts w:hint="cs"/>
          <w:b/>
          <w:bCs/>
          <w:sz w:val="28"/>
          <w:szCs w:val="28"/>
          <w:rtl/>
        </w:rPr>
        <w:t>الوطنية الصادرة عن الجامعات الأردنية الرسمية والمدعومة من صندوق دعم البحث العلمي/ وزارة التعليم العالي والبحث العلمي.</w:t>
      </w:r>
    </w:p>
    <w:p w:rsidR="0064455E" w:rsidRPr="001A3208" w:rsidRDefault="00DD1433" w:rsidP="009C553E">
      <w:pPr>
        <w:spacing w:line="480" w:lineRule="auto"/>
        <w:ind w:left="-58" w:hanging="567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رابعاً</w:t>
      </w:r>
      <w:r w:rsidR="0064455E" w:rsidRPr="001A3208">
        <w:rPr>
          <w:rFonts w:hint="cs"/>
          <w:b/>
          <w:bCs/>
          <w:sz w:val="28"/>
          <w:szCs w:val="28"/>
          <w:rtl/>
        </w:rPr>
        <w:t xml:space="preserve">: المجلات العلمية التي تصدر عن الجامعات العربية أو مراكز البحوث </w:t>
      </w:r>
      <w:r w:rsidR="009C553E">
        <w:rPr>
          <w:rFonts w:hint="cs"/>
          <w:b/>
          <w:bCs/>
          <w:sz w:val="28"/>
          <w:szCs w:val="28"/>
          <w:rtl/>
        </w:rPr>
        <w:t xml:space="preserve">أو الجمعيات </w:t>
      </w:r>
      <w:r w:rsidR="0064455E" w:rsidRPr="001A3208">
        <w:rPr>
          <w:rFonts w:hint="cs"/>
          <w:b/>
          <w:bCs/>
          <w:sz w:val="28"/>
          <w:szCs w:val="28"/>
          <w:rtl/>
        </w:rPr>
        <w:t xml:space="preserve">أو الاتحادات العلمية المهنية </w:t>
      </w:r>
      <w:r w:rsidR="009C553E">
        <w:rPr>
          <w:rFonts w:hint="cs"/>
          <w:b/>
          <w:bCs/>
          <w:sz w:val="28"/>
          <w:szCs w:val="28"/>
          <w:rtl/>
        </w:rPr>
        <w:t xml:space="preserve">أو المجامع اللغوية </w:t>
      </w:r>
      <w:r w:rsidR="00B668BC">
        <w:rPr>
          <w:rFonts w:hint="cs"/>
          <w:b/>
          <w:bCs/>
          <w:sz w:val="28"/>
          <w:szCs w:val="28"/>
          <w:rtl/>
        </w:rPr>
        <w:t xml:space="preserve">على </w:t>
      </w:r>
      <w:r w:rsidR="0064455E" w:rsidRPr="001A3208">
        <w:rPr>
          <w:rFonts w:hint="cs"/>
          <w:b/>
          <w:bCs/>
          <w:sz w:val="28"/>
          <w:szCs w:val="28"/>
          <w:rtl/>
        </w:rPr>
        <w:t>أن تحقق الشروط التالية:</w:t>
      </w:r>
    </w:p>
    <w:p w:rsidR="0064455E" w:rsidRPr="001A3208" w:rsidRDefault="0064455E" w:rsidP="00B668BC">
      <w:pPr>
        <w:spacing w:line="480" w:lineRule="auto"/>
        <w:ind w:left="227" w:hanging="227"/>
        <w:jc w:val="both"/>
        <w:rPr>
          <w:sz w:val="28"/>
          <w:szCs w:val="28"/>
          <w:rtl/>
        </w:rPr>
      </w:pPr>
      <w:r w:rsidRPr="001A3208">
        <w:rPr>
          <w:rFonts w:hint="cs"/>
          <w:sz w:val="28"/>
          <w:szCs w:val="28"/>
          <w:rtl/>
        </w:rPr>
        <w:t>أ- المجلات العلمية التي تصدر عن الجامعات العربية تكون من أول (</w:t>
      </w:r>
      <w:r w:rsidR="00B668BC">
        <w:rPr>
          <w:rFonts w:hint="cs"/>
          <w:sz w:val="28"/>
          <w:szCs w:val="28"/>
          <w:rtl/>
        </w:rPr>
        <w:t>100</w:t>
      </w:r>
      <w:r w:rsidRPr="001A3208">
        <w:rPr>
          <w:rFonts w:hint="cs"/>
          <w:sz w:val="28"/>
          <w:szCs w:val="28"/>
          <w:rtl/>
        </w:rPr>
        <w:t xml:space="preserve">) جامعة في سنة </w:t>
      </w:r>
      <w:r w:rsidR="001F3DFD">
        <w:rPr>
          <w:rFonts w:hint="cs"/>
          <w:sz w:val="28"/>
          <w:szCs w:val="28"/>
          <w:rtl/>
        </w:rPr>
        <w:t xml:space="preserve">القبول أو </w:t>
      </w:r>
      <w:r w:rsidRPr="001A3208">
        <w:rPr>
          <w:rFonts w:hint="cs"/>
          <w:sz w:val="28"/>
          <w:szCs w:val="28"/>
          <w:rtl/>
        </w:rPr>
        <w:t>النشر ضمن تصنيف الجامعات (</w:t>
      </w:r>
      <w:r w:rsidRPr="001A3208">
        <w:rPr>
          <w:sz w:val="28"/>
          <w:szCs w:val="28"/>
        </w:rPr>
        <w:t>QS University Ranking, Arab Region</w:t>
      </w:r>
      <w:r w:rsidRPr="001A3208">
        <w:rPr>
          <w:rFonts w:hint="cs"/>
          <w:sz w:val="28"/>
          <w:szCs w:val="28"/>
          <w:rtl/>
        </w:rPr>
        <w:t>).</w:t>
      </w:r>
    </w:p>
    <w:p w:rsidR="0064455E" w:rsidRPr="001A3208" w:rsidRDefault="0064455E" w:rsidP="001F3DFD">
      <w:pPr>
        <w:spacing w:line="480" w:lineRule="auto"/>
        <w:ind w:left="227" w:hanging="227"/>
        <w:jc w:val="both"/>
        <w:rPr>
          <w:sz w:val="28"/>
          <w:szCs w:val="28"/>
          <w:rtl/>
        </w:rPr>
      </w:pPr>
      <w:r w:rsidRPr="001A3208">
        <w:rPr>
          <w:rFonts w:hint="cs"/>
          <w:sz w:val="28"/>
          <w:szCs w:val="28"/>
          <w:rtl/>
        </w:rPr>
        <w:t xml:space="preserve">ب- التحقق من جدية التحكيم السري وموضوعيته </w:t>
      </w:r>
      <w:r w:rsidR="001F3DFD">
        <w:rPr>
          <w:rFonts w:hint="cs"/>
          <w:sz w:val="28"/>
          <w:szCs w:val="28"/>
          <w:rtl/>
        </w:rPr>
        <w:t>مرفقاً مع</w:t>
      </w:r>
      <w:r w:rsidRPr="001A3208">
        <w:rPr>
          <w:rFonts w:hint="cs"/>
          <w:sz w:val="28"/>
          <w:szCs w:val="28"/>
          <w:rtl/>
        </w:rPr>
        <w:t xml:space="preserve"> البحث المنشور أو المقبول للنشر رسالة القبول.</w:t>
      </w:r>
    </w:p>
    <w:p w:rsidR="0064455E" w:rsidRPr="001A3208" w:rsidRDefault="0064455E" w:rsidP="009C553E">
      <w:pPr>
        <w:spacing w:line="480" w:lineRule="auto"/>
        <w:ind w:left="227" w:hanging="227"/>
        <w:jc w:val="both"/>
        <w:rPr>
          <w:sz w:val="28"/>
          <w:szCs w:val="28"/>
          <w:rtl/>
        </w:rPr>
      </w:pPr>
      <w:r w:rsidRPr="001A3208">
        <w:rPr>
          <w:rFonts w:hint="cs"/>
          <w:sz w:val="28"/>
          <w:szCs w:val="28"/>
          <w:rtl/>
        </w:rPr>
        <w:t xml:space="preserve">ج- أن لا تقل نسبة </w:t>
      </w:r>
      <w:r w:rsidR="009C553E">
        <w:rPr>
          <w:rFonts w:hint="cs"/>
          <w:sz w:val="28"/>
          <w:szCs w:val="28"/>
          <w:rtl/>
        </w:rPr>
        <w:t>البحوث</w:t>
      </w:r>
      <w:r w:rsidRPr="001A3208">
        <w:rPr>
          <w:rFonts w:hint="cs"/>
          <w:sz w:val="28"/>
          <w:szCs w:val="28"/>
          <w:rtl/>
        </w:rPr>
        <w:t xml:space="preserve"> غير المحلية المنشورة بها عن (</w:t>
      </w:r>
      <w:r w:rsidR="009C553E">
        <w:rPr>
          <w:rFonts w:hint="cs"/>
          <w:sz w:val="28"/>
          <w:szCs w:val="28"/>
          <w:rtl/>
        </w:rPr>
        <w:t>20</w:t>
      </w:r>
      <w:r w:rsidRPr="001A3208">
        <w:rPr>
          <w:rFonts w:hint="cs"/>
          <w:sz w:val="28"/>
          <w:szCs w:val="28"/>
          <w:rtl/>
        </w:rPr>
        <w:t>%).</w:t>
      </w:r>
    </w:p>
    <w:p w:rsidR="00C21497" w:rsidRPr="001A3208" w:rsidRDefault="00C21497" w:rsidP="001A3208">
      <w:pPr>
        <w:spacing w:line="480" w:lineRule="auto"/>
        <w:ind w:left="227" w:hanging="227"/>
        <w:jc w:val="both"/>
        <w:rPr>
          <w:sz w:val="28"/>
          <w:szCs w:val="28"/>
          <w:rtl/>
        </w:rPr>
      </w:pPr>
      <w:r w:rsidRPr="001A3208">
        <w:rPr>
          <w:rFonts w:hint="cs"/>
          <w:sz w:val="28"/>
          <w:szCs w:val="28"/>
          <w:rtl/>
        </w:rPr>
        <w:t>د- أن تكون المجلة متخصصة في أحد المجالات الأكاديمية.</w:t>
      </w:r>
    </w:p>
    <w:p w:rsidR="00C21497" w:rsidRPr="001A3208" w:rsidRDefault="00C21497" w:rsidP="001A3208">
      <w:pPr>
        <w:spacing w:line="480" w:lineRule="auto"/>
        <w:ind w:left="227" w:hanging="227"/>
        <w:jc w:val="both"/>
        <w:rPr>
          <w:sz w:val="28"/>
          <w:szCs w:val="28"/>
          <w:rtl/>
        </w:rPr>
      </w:pPr>
      <w:r w:rsidRPr="001A3208">
        <w:rPr>
          <w:rFonts w:hint="cs"/>
          <w:sz w:val="28"/>
          <w:szCs w:val="28"/>
          <w:rtl/>
        </w:rPr>
        <w:t>هـ- أن يكون لها رئيس وهيئة تحرير من الأساتذة في مجال التخصص.</w:t>
      </w:r>
    </w:p>
    <w:p w:rsidR="00C21497" w:rsidRDefault="00C21497" w:rsidP="001A3208">
      <w:pPr>
        <w:spacing w:line="480" w:lineRule="auto"/>
        <w:ind w:left="227" w:hanging="227"/>
        <w:jc w:val="both"/>
        <w:rPr>
          <w:sz w:val="28"/>
          <w:szCs w:val="28"/>
          <w:rtl/>
          <w:lang w:bidi="ar-JO"/>
        </w:rPr>
      </w:pPr>
      <w:r w:rsidRPr="001A3208">
        <w:rPr>
          <w:rFonts w:hint="cs"/>
          <w:sz w:val="28"/>
          <w:szCs w:val="28"/>
          <w:rtl/>
          <w:lang w:bidi="ar-JO"/>
        </w:rPr>
        <w:t>و- أن تكون المجلة دورية وتصدر بشكل منتظم وأن يكون قد مضى على بداية إصدارها مدة ثلاث سنوات على الأقل.</w:t>
      </w:r>
    </w:p>
    <w:p w:rsidR="00DD1433" w:rsidRPr="001A3208" w:rsidRDefault="00DD1433" w:rsidP="001A3208">
      <w:pPr>
        <w:spacing w:line="480" w:lineRule="auto"/>
        <w:ind w:left="227" w:hanging="227"/>
        <w:jc w:val="both"/>
        <w:rPr>
          <w:sz w:val="28"/>
          <w:szCs w:val="28"/>
          <w:rtl/>
          <w:lang w:bidi="ar-JO"/>
        </w:rPr>
      </w:pPr>
    </w:p>
    <w:p w:rsidR="00C00975" w:rsidRDefault="00C00975" w:rsidP="009C553E">
      <w:pPr>
        <w:tabs>
          <w:tab w:val="num" w:pos="-154"/>
          <w:tab w:val="num" w:pos="1286"/>
        </w:tabs>
        <w:ind w:left="226" w:hanging="851"/>
        <w:jc w:val="both"/>
        <w:rPr>
          <w:b/>
          <w:bCs/>
          <w:sz w:val="28"/>
          <w:szCs w:val="28"/>
          <w:rtl/>
        </w:rPr>
      </w:pPr>
    </w:p>
    <w:p w:rsidR="00C00975" w:rsidRDefault="00C00975" w:rsidP="009C553E">
      <w:pPr>
        <w:tabs>
          <w:tab w:val="num" w:pos="-154"/>
          <w:tab w:val="num" w:pos="1286"/>
        </w:tabs>
        <w:ind w:left="226" w:hanging="851"/>
        <w:jc w:val="both"/>
        <w:rPr>
          <w:b/>
          <w:bCs/>
          <w:sz w:val="28"/>
          <w:szCs w:val="28"/>
          <w:rtl/>
        </w:rPr>
      </w:pPr>
    </w:p>
    <w:p w:rsidR="00C21497" w:rsidRDefault="00DD1433" w:rsidP="009C553E">
      <w:pPr>
        <w:tabs>
          <w:tab w:val="num" w:pos="-154"/>
          <w:tab w:val="num" w:pos="1286"/>
        </w:tabs>
        <w:ind w:left="226" w:hanging="851"/>
        <w:jc w:val="both"/>
        <w:rPr>
          <w:rFonts w:cs="Simplified Arabic"/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b/>
          <w:bCs/>
          <w:sz w:val="28"/>
          <w:szCs w:val="28"/>
          <w:rtl/>
        </w:rPr>
        <w:t>خامساً</w:t>
      </w:r>
      <w:r w:rsidR="00C21497" w:rsidRPr="001A3208">
        <w:rPr>
          <w:rFonts w:hint="cs"/>
          <w:b/>
          <w:bCs/>
          <w:sz w:val="28"/>
          <w:szCs w:val="28"/>
          <w:rtl/>
        </w:rPr>
        <w:t xml:space="preserve">: </w:t>
      </w:r>
      <w:r w:rsidR="00C21497" w:rsidRPr="001A3208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 xml:space="preserve">المؤتمرات العلمية:- </w:t>
      </w:r>
    </w:p>
    <w:p w:rsidR="009C553E" w:rsidRPr="009C553E" w:rsidRDefault="009C553E" w:rsidP="009C553E">
      <w:pPr>
        <w:tabs>
          <w:tab w:val="num" w:pos="-154"/>
          <w:tab w:val="num" w:pos="1286"/>
        </w:tabs>
        <w:ind w:left="226" w:hanging="851"/>
        <w:jc w:val="both"/>
        <w:rPr>
          <w:rFonts w:cs="Simplified Arabic"/>
          <w:b/>
          <w:bCs/>
          <w:sz w:val="2"/>
          <w:szCs w:val="2"/>
          <w:u w:val="single"/>
          <w:rtl/>
          <w:lang w:bidi="ar-JO"/>
        </w:rPr>
      </w:pPr>
    </w:p>
    <w:p w:rsidR="00C21497" w:rsidRPr="001A3208" w:rsidRDefault="00C21497" w:rsidP="001A3208">
      <w:pPr>
        <w:numPr>
          <w:ilvl w:val="0"/>
          <w:numId w:val="6"/>
        </w:numPr>
        <w:spacing w:after="0" w:line="480" w:lineRule="auto"/>
        <w:ind w:left="368" w:right="-540" w:hanging="426"/>
        <w:jc w:val="both"/>
        <w:rPr>
          <w:sz w:val="28"/>
          <w:szCs w:val="28"/>
          <w:rtl/>
        </w:rPr>
      </w:pPr>
      <w:r w:rsidRPr="001A3208">
        <w:rPr>
          <w:rFonts w:hint="cs"/>
          <w:sz w:val="28"/>
          <w:szCs w:val="28"/>
          <w:rtl/>
        </w:rPr>
        <w:t xml:space="preserve">يعتمد المؤتمر العلمي العالمي في الجامعة الهاشمية إذا توافرت فيه الشروط الآتية:- </w:t>
      </w:r>
    </w:p>
    <w:p w:rsidR="00C21497" w:rsidRDefault="00C21497" w:rsidP="001A3208">
      <w:pPr>
        <w:numPr>
          <w:ilvl w:val="0"/>
          <w:numId w:val="6"/>
        </w:numPr>
        <w:spacing w:after="0" w:line="480" w:lineRule="auto"/>
        <w:ind w:left="368" w:right="-540" w:hanging="426"/>
        <w:jc w:val="both"/>
        <w:rPr>
          <w:sz w:val="28"/>
          <w:szCs w:val="28"/>
        </w:rPr>
      </w:pPr>
      <w:r w:rsidRPr="001A3208">
        <w:rPr>
          <w:rFonts w:hint="cs"/>
          <w:sz w:val="28"/>
          <w:szCs w:val="28"/>
          <w:rtl/>
        </w:rPr>
        <w:t>أن يكون له لجنة تحضيرية لتنظيم شؤونه الإدارية والمالية وتحديد أهدافه، وأن يكون له لجنة علمية لتنظيم شؤونه العلمية المتعلقة باختيار المتحدثين الرئيسين، والإشراف عل</w:t>
      </w:r>
      <w:r w:rsidR="001F3DFD">
        <w:rPr>
          <w:rFonts w:hint="cs"/>
          <w:sz w:val="28"/>
          <w:szCs w:val="28"/>
          <w:rtl/>
        </w:rPr>
        <w:t xml:space="preserve">ى تحكيم البحوث المقدمة للمؤتمر أن </w:t>
      </w:r>
      <w:r w:rsidRPr="001A3208">
        <w:rPr>
          <w:rFonts w:hint="cs"/>
          <w:sz w:val="28"/>
          <w:szCs w:val="28"/>
          <w:rtl/>
        </w:rPr>
        <w:t>يظهر ذلك في نشرات دعوة المؤتمر الورقية أو الالكترونية.</w:t>
      </w:r>
    </w:p>
    <w:p w:rsidR="00C21497" w:rsidRPr="001A3208" w:rsidRDefault="00C21497" w:rsidP="001A3208">
      <w:pPr>
        <w:numPr>
          <w:ilvl w:val="0"/>
          <w:numId w:val="6"/>
        </w:numPr>
        <w:spacing w:after="0" w:line="480" w:lineRule="auto"/>
        <w:ind w:left="368" w:right="-540" w:hanging="426"/>
        <w:jc w:val="both"/>
        <w:rPr>
          <w:sz w:val="28"/>
          <w:szCs w:val="28"/>
        </w:rPr>
      </w:pPr>
      <w:r w:rsidRPr="001A3208">
        <w:rPr>
          <w:rFonts w:hint="cs"/>
          <w:sz w:val="28"/>
          <w:szCs w:val="28"/>
          <w:rtl/>
        </w:rPr>
        <w:t>أن يكون المؤتمر متخصصاً في أي من مجالات المعرفة</w:t>
      </w:r>
      <w:r w:rsidR="001F3DFD">
        <w:rPr>
          <w:rFonts w:hint="cs"/>
          <w:sz w:val="28"/>
          <w:szCs w:val="28"/>
          <w:rtl/>
        </w:rPr>
        <w:t xml:space="preserve"> الإنسانية والاجتماعية</w:t>
      </w:r>
      <w:r w:rsidRPr="001A3208">
        <w:rPr>
          <w:rFonts w:hint="cs"/>
          <w:sz w:val="28"/>
          <w:szCs w:val="28"/>
          <w:rtl/>
        </w:rPr>
        <w:t>.</w:t>
      </w:r>
    </w:p>
    <w:p w:rsidR="00C21497" w:rsidRPr="001A3208" w:rsidRDefault="00C21497" w:rsidP="001A3208">
      <w:pPr>
        <w:numPr>
          <w:ilvl w:val="0"/>
          <w:numId w:val="6"/>
        </w:numPr>
        <w:spacing w:after="0" w:line="480" w:lineRule="auto"/>
        <w:ind w:left="368" w:right="-540" w:hanging="426"/>
        <w:jc w:val="both"/>
        <w:rPr>
          <w:sz w:val="28"/>
          <w:szCs w:val="28"/>
        </w:rPr>
      </w:pPr>
      <w:r w:rsidRPr="001A3208">
        <w:rPr>
          <w:rFonts w:hint="cs"/>
          <w:sz w:val="28"/>
          <w:szCs w:val="28"/>
          <w:rtl/>
        </w:rPr>
        <w:t>أن تنظمه جامعة أو معهد علمي أو جمعية علمية أو مركز بحث</w:t>
      </w:r>
      <w:r w:rsidR="00532477" w:rsidRPr="001A3208">
        <w:rPr>
          <w:rFonts w:hint="cs"/>
          <w:sz w:val="28"/>
          <w:szCs w:val="28"/>
          <w:rtl/>
        </w:rPr>
        <w:t xml:space="preserve"> أو دار نشر عالمية</w:t>
      </w:r>
      <w:r w:rsidR="001F3DFD">
        <w:rPr>
          <w:rFonts w:hint="cs"/>
          <w:sz w:val="28"/>
          <w:szCs w:val="28"/>
          <w:rtl/>
        </w:rPr>
        <w:t xml:space="preserve"> أو مجمع لغة.</w:t>
      </w:r>
    </w:p>
    <w:p w:rsidR="00C21497" w:rsidRPr="001A3208" w:rsidRDefault="001F3DFD" w:rsidP="001F3DFD">
      <w:pPr>
        <w:numPr>
          <w:ilvl w:val="0"/>
          <w:numId w:val="6"/>
        </w:numPr>
        <w:spacing w:after="0" w:line="480" w:lineRule="auto"/>
        <w:ind w:left="368" w:right="-540" w:hanging="426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أن يحكم</w:t>
      </w:r>
      <w:r w:rsidR="00C21497" w:rsidRPr="001A3208">
        <w:rPr>
          <w:rFonts w:hint="cs"/>
          <w:sz w:val="28"/>
          <w:szCs w:val="28"/>
          <w:rtl/>
        </w:rPr>
        <w:t xml:space="preserve"> البحث المقدم كاملاً، على أن يقدم الباحث ما يثبت ذلك من خلال ملاحظات المحكمين الذين حكموا </w:t>
      </w:r>
      <w:r>
        <w:rPr>
          <w:rFonts w:hint="cs"/>
          <w:sz w:val="28"/>
          <w:szCs w:val="28"/>
          <w:rtl/>
        </w:rPr>
        <w:t>البحث</w:t>
      </w:r>
      <w:r w:rsidR="00C21497" w:rsidRPr="001A3208">
        <w:rPr>
          <w:rFonts w:hint="cs"/>
          <w:sz w:val="28"/>
          <w:szCs w:val="28"/>
          <w:rtl/>
        </w:rPr>
        <w:t>.</w:t>
      </w:r>
    </w:p>
    <w:p w:rsidR="00C21497" w:rsidRPr="001A3208" w:rsidRDefault="00C21497" w:rsidP="001A3208">
      <w:pPr>
        <w:numPr>
          <w:ilvl w:val="0"/>
          <w:numId w:val="6"/>
        </w:numPr>
        <w:spacing w:after="0" w:line="480" w:lineRule="auto"/>
        <w:ind w:left="368" w:right="-540" w:hanging="426"/>
        <w:jc w:val="both"/>
        <w:rPr>
          <w:sz w:val="28"/>
          <w:szCs w:val="28"/>
        </w:rPr>
      </w:pPr>
      <w:r w:rsidRPr="001A3208">
        <w:rPr>
          <w:rFonts w:hint="cs"/>
          <w:sz w:val="28"/>
          <w:szCs w:val="28"/>
          <w:rtl/>
        </w:rPr>
        <w:t>أن ينشر البحث كاملاً في</w:t>
      </w:r>
      <w:r w:rsidR="00532477" w:rsidRPr="001A3208">
        <w:rPr>
          <w:rFonts w:hint="cs"/>
          <w:sz w:val="28"/>
          <w:szCs w:val="28"/>
          <w:rtl/>
        </w:rPr>
        <w:t xml:space="preserve"> كتاب خاص</w:t>
      </w:r>
      <w:r w:rsidRPr="001A3208">
        <w:rPr>
          <w:rFonts w:hint="cs"/>
          <w:sz w:val="28"/>
          <w:szCs w:val="28"/>
          <w:rtl/>
        </w:rPr>
        <w:t xml:space="preserve"> </w:t>
      </w:r>
      <w:r w:rsidR="00532477" w:rsidRPr="001A3208">
        <w:rPr>
          <w:rFonts w:hint="cs"/>
          <w:sz w:val="28"/>
          <w:szCs w:val="28"/>
          <w:rtl/>
        </w:rPr>
        <w:t>بو</w:t>
      </w:r>
      <w:r w:rsidRPr="001A3208">
        <w:rPr>
          <w:rFonts w:hint="cs"/>
          <w:sz w:val="28"/>
          <w:szCs w:val="28"/>
          <w:rtl/>
        </w:rPr>
        <w:t xml:space="preserve">قائع المؤتمر </w:t>
      </w:r>
      <w:r w:rsidR="00532477" w:rsidRPr="001A3208">
        <w:rPr>
          <w:rFonts w:hint="cs"/>
          <w:sz w:val="28"/>
          <w:szCs w:val="28"/>
          <w:rtl/>
        </w:rPr>
        <w:t>(</w:t>
      </w:r>
      <w:r w:rsidRPr="001A3208">
        <w:rPr>
          <w:rFonts w:hint="cs"/>
          <w:sz w:val="28"/>
          <w:szCs w:val="28"/>
          <w:rtl/>
        </w:rPr>
        <w:t>ورقي</w:t>
      </w:r>
      <w:r w:rsidR="00532477" w:rsidRPr="001A3208">
        <w:rPr>
          <w:rFonts w:hint="cs"/>
          <w:sz w:val="28"/>
          <w:szCs w:val="28"/>
          <w:rtl/>
        </w:rPr>
        <w:t>اً</w:t>
      </w:r>
      <w:r w:rsidRPr="001A3208">
        <w:rPr>
          <w:rFonts w:hint="cs"/>
          <w:sz w:val="28"/>
          <w:szCs w:val="28"/>
          <w:rtl/>
        </w:rPr>
        <w:t xml:space="preserve"> أو الكتروني</w:t>
      </w:r>
      <w:r w:rsidR="00532477" w:rsidRPr="001A3208">
        <w:rPr>
          <w:rFonts w:hint="cs"/>
          <w:sz w:val="28"/>
          <w:szCs w:val="28"/>
          <w:rtl/>
        </w:rPr>
        <w:t>اً) أو في عدد خاص من مجلة علمية معتمدة</w:t>
      </w:r>
      <w:r w:rsidRPr="001A3208">
        <w:rPr>
          <w:rFonts w:hint="cs"/>
          <w:sz w:val="28"/>
          <w:szCs w:val="28"/>
          <w:rtl/>
        </w:rPr>
        <w:t>.</w:t>
      </w:r>
    </w:p>
    <w:sectPr w:rsidR="00C21497" w:rsidRPr="001A3208" w:rsidSect="00DD1433">
      <w:footerReference w:type="default" r:id="rId7"/>
      <w:pgSz w:w="11906" w:h="16838"/>
      <w:pgMar w:top="709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39D" w:rsidRDefault="0045139D" w:rsidP="00B668BC">
      <w:pPr>
        <w:spacing w:after="0" w:line="240" w:lineRule="auto"/>
      </w:pPr>
      <w:r>
        <w:separator/>
      </w:r>
    </w:p>
  </w:endnote>
  <w:endnote w:type="continuationSeparator" w:id="1">
    <w:p w:rsidR="0045139D" w:rsidRDefault="0045139D" w:rsidP="00B6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Ind w:w="-1041" w:type="dxa"/>
      <w:tblBorders>
        <w:top w:val="single" w:sz="4" w:space="0" w:color="auto"/>
      </w:tblBorders>
      <w:tblLook w:val="0000"/>
    </w:tblPr>
    <w:tblGrid>
      <w:gridCol w:w="5202"/>
    </w:tblGrid>
    <w:tr w:rsidR="009C553E" w:rsidTr="009C553E">
      <w:trPr>
        <w:trHeight w:val="100"/>
      </w:trPr>
      <w:tc>
        <w:tcPr>
          <w:tcW w:w="5202" w:type="dxa"/>
        </w:tcPr>
        <w:p w:rsidR="009C553E" w:rsidRPr="009C553E" w:rsidRDefault="009C553E" w:rsidP="009C553E">
          <w:pPr>
            <w:spacing w:line="240" w:lineRule="auto"/>
            <w:ind w:right="-284"/>
            <w:jc w:val="both"/>
            <w:rPr>
              <w:rFonts w:asciiTheme="minorBidi" w:hAnsiTheme="minorBidi"/>
              <w:sz w:val="16"/>
              <w:szCs w:val="16"/>
              <w:lang w:bidi="ar-JO"/>
            </w:rPr>
          </w:pPr>
          <w:r w:rsidRPr="009C553E">
            <w:rPr>
              <w:rFonts w:asciiTheme="minorBidi" w:hAnsiTheme="minorBidi" w:hint="cs"/>
              <w:sz w:val="16"/>
              <w:szCs w:val="16"/>
              <w:rtl/>
              <w:lang w:bidi="ar-JO"/>
            </w:rPr>
            <w:t>أسس اعتماد المجلات لأغراض النقل والتحويل والترقية  في الكليات الإنسانية</w:t>
          </w:r>
          <w:r w:rsidRPr="009C553E">
            <w:rPr>
              <w:rFonts w:asciiTheme="minorBidi" w:hAnsiTheme="minorBidi"/>
              <w:sz w:val="16"/>
              <w:szCs w:val="16"/>
              <w:rtl/>
              <w:lang w:bidi="ar-JO"/>
            </w:rPr>
            <w:t xml:space="preserve"> في الجامعة الهاشمية  </w:t>
          </w:r>
        </w:p>
        <w:p w:rsidR="009C553E" w:rsidRDefault="009C553E" w:rsidP="009C553E">
          <w:pPr>
            <w:spacing w:line="240" w:lineRule="auto"/>
            <w:ind w:right="-284"/>
            <w:jc w:val="both"/>
            <w:rPr>
              <w:rFonts w:asciiTheme="minorBidi" w:hAnsiTheme="minorBidi"/>
              <w:b/>
              <w:bCs/>
              <w:sz w:val="16"/>
              <w:szCs w:val="16"/>
              <w:u w:val="single"/>
              <w:rtl/>
              <w:lang w:bidi="ar-JO"/>
            </w:rPr>
          </w:pPr>
        </w:p>
      </w:tc>
    </w:tr>
  </w:tbl>
  <w:p w:rsidR="00B668BC" w:rsidRDefault="000C0975">
    <w:pPr>
      <w:pStyle w:val="Footer"/>
      <w:jc w:val="center"/>
    </w:pPr>
    <w:sdt>
      <w:sdtPr>
        <w:rPr>
          <w:rtl/>
        </w:rPr>
        <w:id w:val="278966698"/>
        <w:docPartObj>
          <w:docPartGallery w:val="Page Numbers (Bottom of Page)"/>
          <w:docPartUnique/>
        </w:docPartObj>
      </w:sdtPr>
      <w:sdtContent>
        <w:fldSimple w:instr=" PAGE   \* MERGEFORMAT ">
          <w:r w:rsidR="0086535C">
            <w:rPr>
              <w:noProof/>
              <w:rtl/>
            </w:rPr>
            <w:t>1</w:t>
          </w:r>
        </w:fldSimple>
      </w:sdtContent>
    </w:sdt>
  </w:p>
  <w:p w:rsidR="00B668BC" w:rsidRDefault="00B668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39D" w:rsidRDefault="0045139D" w:rsidP="00B668BC">
      <w:pPr>
        <w:spacing w:after="0" w:line="240" w:lineRule="auto"/>
      </w:pPr>
      <w:r>
        <w:separator/>
      </w:r>
    </w:p>
  </w:footnote>
  <w:footnote w:type="continuationSeparator" w:id="1">
    <w:p w:rsidR="0045139D" w:rsidRDefault="0045139D" w:rsidP="00B66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509"/>
    <w:multiLevelType w:val="hybridMultilevel"/>
    <w:tmpl w:val="CE88B70C"/>
    <w:lvl w:ilvl="0" w:tplc="AD482264">
      <w:start w:val="2"/>
      <w:numFmt w:val="bullet"/>
      <w:lvlText w:val="-"/>
      <w:lvlJc w:val="left"/>
      <w:pPr>
        <w:tabs>
          <w:tab w:val="num" w:pos="-154"/>
        </w:tabs>
        <w:ind w:left="-154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66"/>
        </w:tabs>
        <w:ind w:left="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26"/>
        </w:tabs>
        <w:ind w:left="2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46"/>
        </w:tabs>
        <w:ind w:left="3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66"/>
        </w:tabs>
        <w:ind w:left="4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86"/>
        </w:tabs>
        <w:ind w:left="4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06"/>
        </w:tabs>
        <w:ind w:left="5606" w:hanging="360"/>
      </w:pPr>
      <w:rPr>
        <w:rFonts w:ascii="Wingdings" w:hAnsi="Wingdings" w:hint="default"/>
      </w:rPr>
    </w:lvl>
  </w:abstractNum>
  <w:abstractNum w:abstractNumId="1">
    <w:nsid w:val="15965306"/>
    <w:multiLevelType w:val="hybridMultilevel"/>
    <w:tmpl w:val="91FE27B0"/>
    <w:lvl w:ilvl="0" w:tplc="99142DE2">
      <w:start w:val="1"/>
      <w:numFmt w:val="decimal"/>
      <w:lvlText w:val="%1."/>
      <w:lvlJc w:val="left"/>
      <w:pPr>
        <w:tabs>
          <w:tab w:val="num" w:pos="-154"/>
        </w:tabs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6"/>
        </w:tabs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86"/>
        </w:tabs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6"/>
        </w:tabs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26"/>
        </w:tabs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6"/>
        </w:tabs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86"/>
        </w:tabs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6"/>
        </w:tabs>
        <w:ind w:left="5606" w:hanging="180"/>
      </w:pPr>
    </w:lvl>
  </w:abstractNum>
  <w:abstractNum w:abstractNumId="2">
    <w:nsid w:val="18093887"/>
    <w:multiLevelType w:val="hybridMultilevel"/>
    <w:tmpl w:val="B594A59C"/>
    <w:lvl w:ilvl="0" w:tplc="007E334E">
      <w:start w:val="1"/>
      <w:numFmt w:val="arabicAlpha"/>
      <w:lvlText w:val="%1-"/>
      <w:lvlJc w:val="left"/>
      <w:pPr>
        <w:tabs>
          <w:tab w:val="num" w:pos="596"/>
        </w:tabs>
        <w:ind w:left="596" w:hanging="390"/>
      </w:pPr>
      <w:rPr>
        <w:rFonts w:hint="default"/>
      </w:rPr>
    </w:lvl>
    <w:lvl w:ilvl="1" w:tplc="E960938A">
      <w:start w:val="1"/>
      <w:numFmt w:val="decimal"/>
      <w:lvlText w:val="%2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6"/>
        </w:tabs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6"/>
        </w:tabs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6"/>
        </w:tabs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6"/>
        </w:tabs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6"/>
        </w:tabs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6"/>
        </w:tabs>
        <w:ind w:left="6326" w:hanging="180"/>
      </w:pPr>
    </w:lvl>
  </w:abstractNum>
  <w:abstractNum w:abstractNumId="3">
    <w:nsid w:val="26484743"/>
    <w:multiLevelType w:val="hybridMultilevel"/>
    <w:tmpl w:val="14C06048"/>
    <w:lvl w:ilvl="0" w:tplc="A6A8000C">
      <w:start w:val="1"/>
      <w:numFmt w:val="arabicAlpha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D5DEF"/>
    <w:multiLevelType w:val="hybridMultilevel"/>
    <w:tmpl w:val="5B8C90E8"/>
    <w:lvl w:ilvl="0" w:tplc="667AB12A">
      <w:start w:val="1"/>
      <w:numFmt w:val="decimal"/>
      <w:lvlText w:val="%1."/>
      <w:lvlJc w:val="left"/>
      <w:pPr>
        <w:tabs>
          <w:tab w:val="num" w:pos="-154"/>
        </w:tabs>
        <w:ind w:left="-154" w:hanging="360"/>
      </w:pPr>
      <w:rPr>
        <w:rFonts w:hint="default"/>
      </w:rPr>
    </w:lvl>
    <w:lvl w:ilvl="1" w:tplc="A098913C">
      <w:start w:val="2"/>
      <w:numFmt w:val="upperRoman"/>
      <w:lvlText w:val="%2."/>
      <w:lvlJc w:val="left"/>
      <w:pPr>
        <w:tabs>
          <w:tab w:val="num" w:pos="926"/>
        </w:tabs>
        <w:ind w:left="92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86"/>
        </w:tabs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6"/>
        </w:tabs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26"/>
        </w:tabs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6"/>
        </w:tabs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86"/>
        </w:tabs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6"/>
        </w:tabs>
        <w:ind w:left="5606" w:hanging="180"/>
      </w:pPr>
    </w:lvl>
  </w:abstractNum>
  <w:abstractNum w:abstractNumId="5">
    <w:nsid w:val="579827FC"/>
    <w:multiLevelType w:val="hybridMultilevel"/>
    <w:tmpl w:val="BC20CC98"/>
    <w:lvl w:ilvl="0" w:tplc="F79806D6">
      <w:start w:val="1"/>
      <w:numFmt w:val="decimal"/>
      <w:lvlText w:val="%1."/>
      <w:lvlJc w:val="left"/>
      <w:pPr>
        <w:tabs>
          <w:tab w:val="num" w:pos="-154"/>
        </w:tabs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6"/>
        </w:tabs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86"/>
        </w:tabs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6"/>
        </w:tabs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26"/>
        </w:tabs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6"/>
        </w:tabs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86"/>
        </w:tabs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6"/>
        </w:tabs>
        <w:ind w:left="56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6A31"/>
    <w:rsid w:val="00091773"/>
    <w:rsid w:val="000C0975"/>
    <w:rsid w:val="00186A31"/>
    <w:rsid w:val="001A3208"/>
    <w:rsid w:val="001F3DFD"/>
    <w:rsid w:val="003469AB"/>
    <w:rsid w:val="003876A2"/>
    <w:rsid w:val="004471EE"/>
    <w:rsid w:val="0045139D"/>
    <w:rsid w:val="0046713C"/>
    <w:rsid w:val="00501751"/>
    <w:rsid w:val="00532477"/>
    <w:rsid w:val="0064455E"/>
    <w:rsid w:val="007E13C1"/>
    <w:rsid w:val="00845F86"/>
    <w:rsid w:val="0086535C"/>
    <w:rsid w:val="008E21F8"/>
    <w:rsid w:val="00953219"/>
    <w:rsid w:val="009C553E"/>
    <w:rsid w:val="00B668BC"/>
    <w:rsid w:val="00B96AFC"/>
    <w:rsid w:val="00BB7EC0"/>
    <w:rsid w:val="00C00975"/>
    <w:rsid w:val="00C13A16"/>
    <w:rsid w:val="00C21497"/>
    <w:rsid w:val="00C63D3B"/>
    <w:rsid w:val="00D23912"/>
    <w:rsid w:val="00DD1433"/>
    <w:rsid w:val="00E707AD"/>
    <w:rsid w:val="00FD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C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31"/>
    <w:pPr>
      <w:bidi w:val="0"/>
      <w:ind w:left="720"/>
      <w:contextualSpacing/>
    </w:pPr>
  </w:style>
  <w:style w:type="table" w:styleId="TableGrid">
    <w:name w:val="Table Grid"/>
    <w:basedOn w:val="TableNormal"/>
    <w:uiPriority w:val="59"/>
    <w:rsid w:val="00186A3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66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8BC"/>
  </w:style>
  <w:style w:type="paragraph" w:styleId="Footer">
    <w:name w:val="footer"/>
    <w:basedOn w:val="Normal"/>
    <w:link w:val="FooterChar"/>
    <w:uiPriority w:val="99"/>
    <w:unhideWhenUsed/>
    <w:rsid w:val="00B66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2016-11-01T22:44:00Z</cp:lastPrinted>
  <dcterms:created xsi:type="dcterms:W3CDTF">2016-10-08T22:10:00Z</dcterms:created>
  <dcterms:modified xsi:type="dcterms:W3CDTF">2016-11-09T19:22:00Z</dcterms:modified>
</cp:coreProperties>
</file>